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211460">
      <w:pPr>
        <w:pStyle w:val="Ttulo1"/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C0E4399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526C43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164, DE 03 DE NOVEMBRO DE 2025.</w:t>
      </w:r>
    </w:p>
    <w:p w14:paraId="1A440313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ind w:left="3402" w:firstLine="709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Estima a receita e fixa a despesa do Município de Arroio do Padre para o exercício financeiro de 2026.</w:t>
      </w:r>
    </w:p>
    <w:p w14:paraId="3E36B61C" w14:textId="77777777" w:rsid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63902545" w14:textId="61BE3DBA" w:rsidR="00223199" w:rsidRPr="00223199" w:rsidRDefault="00223199" w:rsidP="0022319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ind w:firstLine="709"/>
        <w:jc w:val="both"/>
        <w:textAlignment w:val="auto"/>
        <w:rPr>
          <w:rFonts w:ascii="Arial" w:eastAsia="Times New Roman" w:hAnsi="Arial" w:cs="Arial"/>
          <w:bCs/>
          <w:color w:val="auto"/>
          <w:kern w:val="0"/>
          <w:lang w:eastAsia="pt-BR" w:bidi="ar-SA"/>
        </w:rPr>
      </w:pPr>
      <w:r w:rsidRPr="00223199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 xml:space="preserve">A Câmara Municipal de Arroio do Padre aprovou, e eu, Presidente, promulgo a seguinte Redação Final do </w:t>
      </w:r>
      <w:r w:rsidRPr="00223199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Projeto de Lei nº 16</w:t>
      </w:r>
      <w:r>
        <w:rPr>
          <w:rFonts w:ascii="Arial" w:eastAsia="Times New Roman" w:hAnsi="Arial" w:cs="Arial"/>
          <w:b/>
          <w:color w:val="auto"/>
          <w:kern w:val="0"/>
          <w:lang w:eastAsia="pt-BR" w:bidi="ar-SA"/>
        </w:rPr>
        <w:t>4</w:t>
      </w:r>
      <w:r w:rsidRPr="00223199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/2025</w:t>
      </w:r>
      <w:r w:rsidRPr="00223199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 xml:space="preserve">, de autoria do </w:t>
      </w:r>
      <w:r w:rsidRPr="00223199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Executivo.</w:t>
      </w:r>
    </w:p>
    <w:p w14:paraId="53F53194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1</w:t>
      </w:r>
      <w:r w:rsidRPr="00526C4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º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. Esta Lei estima a receita e fixa a despesa do Município de Arroio do Padre para o exercício financeiro de 2026, referentes aos Poderes do Município, seus fundos, órgãos a eles vinculados.</w:t>
      </w:r>
    </w:p>
    <w:p w14:paraId="007BD9B4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</w:tabs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Parágrafo Único: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Constituem anexos e fazem parte desta Lei:</w:t>
      </w:r>
    </w:p>
    <w:p w14:paraId="2A5B8730" w14:textId="77777777" w:rsidR="00526C43" w:rsidRPr="00526C43" w:rsidRDefault="00526C43" w:rsidP="00526C43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708"/>
        </w:tabs>
        <w:suppressAutoHyphens w:val="0"/>
        <w:spacing w:after="120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526C43">
        <w:rPr>
          <w:rFonts w:ascii="Arial" w:hAnsi="Arial" w:cs="Arial"/>
          <w:bCs/>
          <w:color w:val="auto"/>
          <w:kern w:val="0"/>
          <w:lang w:eastAsia="en-US" w:bidi="ar-SA"/>
        </w:rPr>
        <w:t>Anexos orçamentários 1, 2, 6, 7, 8 e 9 da Lei n</w:t>
      </w:r>
      <w:r w:rsidRPr="00526C43">
        <w:rPr>
          <w:rFonts w:ascii="Arial" w:hAnsi="Arial" w:cs="Arial"/>
          <w:bCs/>
          <w:color w:val="auto"/>
          <w:kern w:val="0"/>
          <w:u w:val="single"/>
          <w:vertAlign w:val="superscript"/>
          <w:lang w:eastAsia="en-US" w:bidi="ar-SA"/>
        </w:rPr>
        <w:t>o</w:t>
      </w:r>
      <w:r w:rsidRPr="00526C43">
        <w:rPr>
          <w:rFonts w:ascii="Arial" w:hAnsi="Arial" w:cs="Arial"/>
          <w:bCs/>
          <w:color w:val="auto"/>
          <w:kern w:val="0"/>
          <w:lang w:eastAsia="en-US" w:bidi="ar-SA"/>
        </w:rPr>
        <w:t xml:space="preserve"> 4.320, de 1964;</w:t>
      </w:r>
    </w:p>
    <w:p w14:paraId="145E0A24" w14:textId="77777777" w:rsidR="00526C43" w:rsidRPr="00526C43" w:rsidRDefault="00526C43" w:rsidP="00526C43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426"/>
          <w:tab w:val="left" w:pos="708"/>
        </w:tabs>
        <w:suppressAutoHyphens w:val="0"/>
        <w:spacing w:after="120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526C43">
        <w:rPr>
          <w:rFonts w:ascii="Arial" w:hAnsi="Arial" w:cs="Arial"/>
          <w:color w:val="auto"/>
          <w:kern w:val="0"/>
          <w:lang w:eastAsia="en-US" w:bidi="ar-SA"/>
        </w:rPr>
        <w:t>discriminação da legislação básica da receita e da despesa dos orçamentos fiscal e da seguridade social;</w:t>
      </w:r>
    </w:p>
    <w:p w14:paraId="76B7D3EA" w14:textId="77777777" w:rsidR="00526C43" w:rsidRPr="00526C43" w:rsidRDefault="00526C43" w:rsidP="00526C43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426"/>
          <w:tab w:val="left" w:pos="708"/>
        </w:tabs>
        <w:suppressAutoHyphens w:val="0"/>
        <w:spacing w:after="120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526C43">
        <w:rPr>
          <w:rFonts w:ascii="Arial" w:hAnsi="Arial" w:cs="Arial"/>
          <w:color w:val="auto"/>
          <w:kern w:val="0"/>
          <w:lang w:eastAsia="en-US" w:bidi="ar-SA"/>
        </w:rPr>
        <w:t>demonstrativo da evolução da receita, por origem, em atendimento ao disposto no art. 12 da Lei Complementar nº 101/2000;</w:t>
      </w:r>
    </w:p>
    <w:p w14:paraId="0549AF7C" w14:textId="77777777" w:rsidR="00526C43" w:rsidRPr="00526C43" w:rsidRDefault="00526C43" w:rsidP="00526C43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426"/>
          <w:tab w:val="left" w:pos="708"/>
        </w:tabs>
        <w:suppressAutoHyphens w:val="0"/>
        <w:spacing w:after="120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526C43">
        <w:rPr>
          <w:rFonts w:ascii="Arial" w:hAnsi="Arial" w:cs="Arial"/>
          <w:color w:val="auto"/>
          <w:kern w:val="0"/>
          <w:lang w:eastAsia="en-US" w:bidi="ar-SA"/>
        </w:rPr>
        <w:t>demonstrativo da estimativa e compensação da renúncia de receita e da margem de expansão das despesas obrigatórias de caráter continuado, de acordo com o art. 5º, inciso II, da Lei Complementar nº 101/2000;</w:t>
      </w:r>
    </w:p>
    <w:p w14:paraId="76DDE077" w14:textId="77777777" w:rsidR="00526C43" w:rsidRPr="00526C43" w:rsidRDefault="00526C43" w:rsidP="00526C43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426"/>
          <w:tab w:val="left" w:pos="708"/>
        </w:tabs>
        <w:suppressAutoHyphens w:val="0"/>
        <w:spacing w:after="120"/>
        <w:jc w:val="both"/>
        <w:textAlignment w:val="auto"/>
        <w:outlineLvl w:val="0"/>
        <w:rPr>
          <w:rFonts w:ascii="Arial" w:hAnsi="Arial" w:cs="Arial"/>
          <w:color w:val="auto"/>
          <w:kern w:val="0"/>
          <w:lang w:eastAsia="en-US" w:bidi="ar-SA"/>
        </w:rPr>
      </w:pPr>
      <w:r w:rsidRPr="00526C43">
        <w:rPr>
          <w:rFonts w:ascii="Arial" w:hAnsi="Arial" w:cs="Arial"/>
          <w:color w:val="auto"/>
          <w:kern w:val="0"/>
          <w:lang w:eastAsia="en-US" w:bidi="ar-SA"/>
        </w:rPr>
        <w:t>quadro que evidencie, em colunas distintas, as receitas por origem e as despesas por grupo de natureza de despesa, dos orçamentos fiscal e da seguridade social, conforme art. 165, § 5º, III, da Constituição Federal;</w:t>
      </w:r>
    </w:p>
    <w:p w14:paraId="38F92CD1" w14:textId="77777777" w:rsidR="00526C43" w:rsidRPr="00526C43" w:rsidRDefault="00526C43" w:rsidP="00526C43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426"/>
          <w:tab w:val="left" w:pos="708"/>
        </w:tabs>
        <w:suppressAutoHyphens w:val="0"/>
        <w:spacing w:after="120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526C43">
        <w:rPr>
          <w:rFonts w:ascii="Arial" w:hAnsi="Arial" w:cs="Arial"/>
          <w:color w:val="auto"/>
          <w:kern w:val="0"/>
          <w:lang w:eastAsia="en-US" w:bidi="ar-SA"/>
        </w:rPr>
        <w:t>demonstrativo da receita por origem</w:t>
      </w:r>
      <w:r w:rsidRPr="00526C43">
        <w:rPr>
          <w:rFonts w:ascii="Arial" w:hAnsi="Arial" w:cs="Times New Roman"/>
          <w:color w:val="auto"/>
          <w:kern w:val="0"/>
          <w:lang w:eastAsia="en-US" w:bidi="ar-SA"/>
        </w:rPr>
        <w:t xml:space="preserve"> (2º nível de detalhamento)</w:t>
      </w:r>
      <w:r w:rsidRPr="00526C43">
        <w:rPr>
          <w:rFonts w:ascii="Arial" w:hAnsi="Arial" w:cs="Arial"/>
          <w:color w:val="auto"/>
          <w:kern w:val="0"/>
          <w:lang w:eastAsia="en-US" w:bidi="ar-SA"/>
        </w:rPr>
        <w:t xml:space="preserve"> e planos de aplicação das despesas dos Fundos Especiais de que trata o art. 2º, § 2º, I, da Lei Federal nº 4.320/1964;</w:t>
      </w:r>
    </w:p>
    <w:p w14:paraId="4A3923DE" w14:textId="77777777" w:rsidR="00526C43" w:rsidRPr="00526C43" w:rsidRDefault="00526C43" w:rsidP="00526C43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426"/>
          <w:tab w:val="left" w:pos="708"/>
        </w:tabs>
        <w:suppressAutoHyphens w:val="0"/>
        <w:spacing w:after="12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526C43">
        <w:rPr>
          <w:rFonts w:ascii="Arial" w:hAnsi="Arial" w:cs="Arial"/>
          <w:color w:val="auto"/>
          <w:kern w:val="0"/>
          <w:lang w:eastAsia="en-US" w:bidi="ar-SA"/>
        </w:rPr>
        <w:t xml:space="preserve">demonstrativo de compatibilidade da </w:t>
      </w:r>
      <w:r w:rsidRPr="00526C43">
        <w:rPr>
          <w:rFonts w:ascii="Arial" w:hAnsi="Arial" w:cs="Arial"/>
          <w:kern w:val="0"/>
          <w:lang w:eastAsia="en-US" w:bidi="ar-SA"/>
        </w:rPr>
        <w:t>programação do orçamento com a meta de resultado primário;</w:t>
      </w:r>
    </w:p>
    <w:p w14:paraId="0D21E29A" w14:textId="77777777" w:rsidR="00526C43" w:rsidRPr="00526C43" w:rsidRDefault="00526C43" w:rsidP="00526C43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426"/>
          <w:tab w:val="left" w:pos="708"/>
        </w:tabs>
        <w:suppressAutoHyphens w:val="0"/>
        <w:spacing w:after="12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526C43">
        <w:rPr>
          <w:rFonts w:ascii="Arial" w:hAnsi="Arial" w:cs="Arial"/>
          <w:kern w:val="0"/>
          <w:lang w:eastAsia="en-US" w:bidi="ar-SA"/>
        </w:rPr>
        <w:t xml:space="preserve">demonstrativo da fixação da despesa com pessoal e encargos sociais, para os Poderes Executivo e Legislativo, confrontando a sua totalização com a receita corrente líquida prevista, conforme </w:t>
      </w:r>
      <w:r w:rsidRPr="00526C43">
        <w:rPr>
          <w:rFonts w:ascii="Arial" w:hAnsi="Arial" w:cs="Arial"/>
          <w:kern w:val="0"/>
          <w:lang w:eastAsia="en-US" w:bidi="ar-SA"/>
        </w:rPr>
        <w:lastRenderedPageBreak/>
        <w:t>metodologia de cálculo prevista na Instrução Normativa nº 05/2024, do Tribunal de Contas do Estado ou da norma que lhe for superveniente;</w:t>
      </w:r>
    </w:p>
    <w:p w14:paraId="67FEF773" w14:textId="77777777" w:rsidR="00526C43" w:rsidRPr="00526C43" w:rsidRDefault="00526C43" w:rsidP="00526C43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426"/>
          <w:tab w:val="left" w:pos="708"/>
        </w:tabs>
        <w:suppressAutoHyphens w:val="0"/>
        <w:spacing w:after="12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526C43">
        <w:rPr>
          <w:rFonts w:ascii="Arial" w:hAnsi="Arial" w:cs="Arial"/>
          <w:kern w:val="0"/>
          <w:lang w:eastAsia="en-US" w:bidi="ar-SA"/>
        </w:rPr>
        <w:t>demonstrativo da previsão das aplicações de recursos na Manutenção e Desenvolvimento do Ensino, nos termos da Lei Federal nº 9.394/1996, inclusive os recursos do Fundo de Manutenção e Desenvolvimento da Educação Básica e de Valorização dos Profissionais da Educação (Fundeb) de que trata a Lei Federal nº 14.113/2020;</w:t>
      </w:r>
    </w:p>
    <w:p w14:paraId="3B67D7E3" w14:textId="77777777" w:rsidR="00526C43" w:rsidRPr="00526C43" w:rsidRDefault="00526C43" w:rsidP="00526C43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426"/>
          <w:tab w:val="left" w:pos="708"/>
        </w:tabs>
        <w:suppressAutoHyphens w:val="0"/>
        <w:spacing w:after="12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526C43">
        <w:rPr>
          <w:rFonts w:ascii="Arial" w:hAnsi="Arial" w:cs="Arial"/>
          <w:kern w:val="0"/>
          <w:lang w:eastAsia="en-US" w:bidi="ar-SA"/>
        </w:rPr>
        <w:t>demonstrativo da previsão da aplicação anual do Município em Ações e Serviços Públicos de Saúde (ASPS), conforme a Lei Complementar nº 141, de 13 de janeiro de 2012;</w:t>
      </w:r>
    </w:p>
    <w:p w14:paraId="19D1E287" w14:textId="77777777" w:rsidR="00526C43" w:rsidRPr="00526C43" w:rsidRDefault="00526C43" w:rsidP="00526C43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426"/>
          <w:tab w:val="left" w:pos="708"/>
        </w:tabs>
        <w:suppressAutoHyphens w:val="0"/>
        <w:spacing w:after="12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526C43">
        <w:rPr>
          <w:rFonts w:ascii="Arial" w:hAnsi="Arial" w:cs="Arial"/>
          <w:kern w:val="0"/>
          <w:lang w:eastAsia="en-US" w:bidi="ar-SA"/>
        </w:rPr>
        <w:t>demonstrativo do cálculo do limite máximo da despesa do Poder Legislativo, conforme o artigo 29-A da Constituição Federal;</w:t>
      </w:r>
    </w:p>
    <w:p w14:paraId="23EC1E53" w14:textId="77777777" w:rsidR="00526C43" w:rsidRPr="00526C43" w:rsidRDefault="00526C43" w:rsidP="00526C43">
      <w:pPr>
        <w:widowControl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  <w:tab w:val="left" w:pos="708"/>
        </w:tabs>
        <w:suppressAutoHyphens w:val="0"/>
        <w:spacing w:after="120"/>
        <w:jc w:val="both"/>
        <w:textAlignment w:val="auto"/>
        <w15:collapsed/>
        <w:rPr>
          <w:rFonts w:ascii="Arial" w:hAnsi="Arial" w:cs="Arial"/>
          <w:kern w:val="0"/>
          <w:lang w:eastAsia="en-US" w:bidi="ar-SA"/>
        </w:rPr>
      </w:pPr>
      <w:r w:rsidRPr="00526C43">
        <w:rPr>
          <w:rFonts w:ascii="Arial" w:hAnsi="Arial" w:cs="Arial"/>
          <w:kern w:val="0"/>
          <w:lang w:eastAsia="en-US" w:bidi="ar-SA"/>
        </w:rPr>
        <w:t>demonstrativo da Receita Corrente Líquida;</w:t>
      </w:r>
    </w:p>
    <w:p w14:paraId="3454225B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uppressAutoHyphens w:val="0"/>
        <w:spacing w:after="120"/>
        <w:ind w:firstLine="426"/>
        <w:jc w:val="both"/>
        <w:textAlignment w:val="auto"/>
        <w15:collapsed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1AB6CC7C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2º.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 Orçamento do Município, em obediência ao princípio do equilíbrio das contas públicas de que trata a Lei Complementar </w:t>
      </w:r>
      <w:r w:rsidRPr="00526C43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>n</w:t>
      </w:r>
      <w:r w:rsidRPr="00526C43">
        <w:rPr>
          <w:rFonts w:ascii="Arial" w:eastAsia="Times New Roman" w:hAnsi="Arial" w:cs="Arial"/>
          <w:bCs/>
          <w:color w:val="auto"/>
          <w:kern w:val="0"/>
          <w:u w:val="single"/>
          <w:vertAlign w:val="superscript"/>
          <w:lang w:eastAsia="pt-BR" w:bidi="ar-SA"/>
        </w:rPr>
        <w:t>o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101, de 2000, art. 1</w:t>
      </w:r>
      <w:r w:rsidRPr="00526C43">
        <w:rPr>
          <w:rFonts w:ascii="Arial" w:eastAsia="Times New Roman" w:hAnsi="Arial" w:cs="Arial"/>
          <w:color w:val="auto"/>
          <w:kern w:val="0"/>
          <w:u w:val="single"/>
          <w:vertAlign w:val="superscript"/>
          <w:lang w:eastAsia="pt-BR" w:bidi="ar-SA"/>
        </w:rPr>
        <w:t>o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, § 1</w:t>
      </w:r>
      <w:r w:rsidRPr="00526C43">
        <w:rPr>
          <w:rFonts w:ascii="Arial" w:eastAsia="Times New Roman" w:hAnsi="Arial" w:cs="Arial"/>
          <w:color w:val="auto"/>
          <w:kern w:val="0"/>
          <w:u w:val="single"/>
          <w:vertAlign w:val="superscript"/>
          <w:lang w:eastAsia="pt-BR" w:bidi="ar-SA"/>
        </w:rPr>
        <w:t>o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, fica estabelecido em igual valor entre a receita estimada e a soma da despesa fixada acrescida da reserva de contingência.</w:t>
      </w:r>
    </w:p>
    <w:p w14:paraId="71CF7933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Parágrafo Único: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Receita e Despesa Orçamentária é fixada em R$ 32.600,00 (trinta e dois milhões e seiscentos mil reais).</w:t>
      </w:r>
      <w:r w:rsidRPr="00526C4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 </w:t>
      </w:r>
    </w:p>
    <w:p w14:paraId="3F6996A8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3º.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Fica o Poder Executivo autorizado a realizar a abertura de créditos suplementares, por Decreto, até o limite de 15% (quinze por cento) da sua despesa total fixada, </w:t>
      </w:r>
      <w:r w:rsidRPr="00526C43">
        <w:rPr>
          <w:rFonts w:ascii="Arial" w:eastAsia="Times New Roman" w:hAnsi="Arial" w:cs="Arial"/>
          <w:snapToGrid w:val="0"/>
          <w:color w:val="auto"/>
          <w:kern w:val="0"/>
          <w:lang w:eastAsia="pt-BR" w:bidi="ar-SA"/>
        </w:rPr>
        <w:t>com a finalidade de suprir insuficiências de dotações orçamentárias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, mediante a utilização dos recursos provenientes:</w:t>
      </w:r>
    </w:p>
    <w:p w14:paraId="50C5920F" w14:textId="77777777" w:rsidR="00526C43" w:rsidRPr="00526C43" w:rsidRDefault="00526C43" w:rsidP="00526C43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426"/>
        </w:tabs>
        <w:suppressAutoHyphens w:val="0"/>
        <w:spacing w:after="120"/>
        <w:ind w:left="0" w:firstLine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da anulação parcial ou total de dotações orçamentárias</w:t>
      </w:r>
      <w:r w:rsidRPr="00526C43">
        <w:rPr>
          <w:rFonts w:eastAsia="Times New Roman" w:cs="Times New Roman"/>
          <w:color w:val="auto"/>
          <w:kern w:val="0"/>
          <w:lang w:eastAsia="pt-BR" w:bidi="ar-SA"/>
        </w:rPr>
        <w:t>;</w:t>
      </w:r>
    </w:p>
    <w:p w14:paraId="468119EC" w14:textId="77777777" w:rsidR="00526C43" w:rsidRPr="00526C43" w:rsidRDefault="00526C43" w:rsidP="00526C43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426"/>
        </w:tabs>
        <w:suppressAutoHyphens w:val="0"/>
        <w:spacing w:after="120"/>
        <w:ind w:left="0" w:firstLine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da incorporação de superávit financeiro do exercício anterior, bem como o que for gerado em 2026 a partir do cancelamento de restos a pagar, obedecidas as respectivas fontes/destinações de recursos;</w:t>
      </w:r>
    </w:p>
    <w:p w14:paraId="61CC4FB8" w14:textId="77777777" w:rsidR="00526C43" w:rsidRPr="00526C43" w:rsidRDefault="00526C43" w:rsidP="00526C43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426"/>
        </w:tabs>
        <w:suppressAutoHyphens w:val="0"/>
        <w:spacing w:after="120"/>
        <w:ind w:left="0" w:firstLine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de excesso de arrecadação, a ser apurado nos termos do art. 43, §3º, da Lei Federal nº 4.320/1964, obedecidas as respectivas fontes/destinações de recursos;</w:t>
      </w:r>
    </w:p>
    <w:p w14:paraId="761B2FA4" w14:textId="77777777" w:rsidR="00526C43" w:rsidRPr="00526C43" w:rsidRDefault="00526C43" w:rsidP="00526C43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426"/>
        </w:tabs>
        <w:suppressAutoHyphens w:val="0"/>
        <w:spacing w:after="120"/>
        <w:ind w:left="0" w:firstLine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da Reserva de Contingência, com valores específicos para este fim no anexo de riscos fiscais;</w:t>
      </w:r>
    </w:p>
    <w:p w14:paraId="0BFF92B4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§1</w:t>
      </w:r>
      <w:r w:rsidRPr="00526C4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º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Poderão ser utilizadas, para efeitos de créditos adicionais, reduções de valores atribuídos a créditos orçamentários de diferentes unidades gestoras do orçamento, sendo 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lastRenderedPageBreak/>
        <w:t>que os créditos adicionais especiais que envolvam o Poder Legislativo deverão possuir autorização expressa daquele Poder.</w:t>
      </w:r>
    </w:p>
    <w:p w14:paraId="66ABBB0F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§2</w:t>
      </w:r>
      <w:r w:rsidRPr="00526C4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º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autorização de que trata este Artigo abrange também as suplementações de programações que forem incluídas na Lei Orçamentária através de créditos especiais.</w:t>
      </w:r>
    </w:p>
    <w:p w14:paraId="65342D13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4º.</w:t>
      </w:r>
      <w:r w:rsidRPr="00526C43">
        <w:rPr>
          <w:rFonts w:ascii="Arial" w:eastAsia="Times New Roman" w:hAnsi="Arial" w:cs="Arial"/>
          <w:snapToGrid w:val="0"/>
          <w:color w:val="auto"/>
          <w:kern w:val="0"/>
          <w:lang w:eastAsia="pt-BR" w:bidi="ar-SA"/>
        </w:rPr>
        <w:t xml:space="preserve"> 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Além dos créditos suplementares autorizados no artigo 3º, e sem prejuízo do limite nele estabelecido, fica o Poder Executivo também autorizado a abrir créditos suplementares destinados a:</w:t>
      </w:r>
    </w:p>
    <w:p w14:paraId="1DB2310F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I - dotações do Grupo de Natureza da Despesa 1 — Pessoal e Encargos Sociais, mediante a utilização de recursos oriundos de anulação de despesas consignadas ao mesmo grupo;</w:t>
      </w:r>
    </w:p>
    <w:p w14:paraId="5810C94A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II - dotações de despesas classificáveis nos elementos 21 – Juros Sobre a Dívida por Contratos, 22 – Outros Encargos Sobre a Dívida por Contrato, 71 – Principal da Dívida Contratual Resgatado e 91 – Sentenças Judiciais;</w:t>
      </w:r>
    </w:p>
    <w:p w14:paraId="1707089B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III - dotações de despesas suportadas com recursos provenientes de operações de crédito, alienação de bens móveis e imóveis, emendas impositivas, transferências voluntárias e convênios da União e do Estado.</w:t>
      </w:r>
    </w:p>
    <w:p w14:paraId="03E1EB4B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36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IV – Transferências especiais da União.</w:t>
      </w:r>
    </w:p>
    <w:p w14:paraId="0D0C4C94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5º.</w:t>
      </w:r>
      <w:r w:rsidRPr="00526C43">
        <w:rPr>
          <w:rFonts w:ascii="Arial" w:eastAsia="Times New Roman" w:hAnsi="Arial" w:cs="Arial"/>
          <w:snapToGrid w:val="0"/>
          <w:color w:val="auto"/>
          <w:kern w:val="0"/>
          <w:lang w:eastAsia="pt-BR" w:bidi="ar-SA"/>
        </w:rPr>
        <w:t xml:space="preserve"> 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Fica autorizado o Poder Legislativo, mediante Resolução da Mesa Diretora da Câmara, a abertura de Créditos Suplementares até o limite de 15% (quinze por cento) de sua despesa total fixada, compreendendo as operações intraorçamentárias, com a finalidade de suprir insuficiências de suas dotações orçamentárias, desde que sejam indicados, como recursos, a anulação parcial ou total de dotações do próprio Poder Legislativo.</w:t>
      </w:r>
    </w:p>
    <w:p w14:paraId="2BE28350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b/>
          <w:snapToGrid w:val="0"/>
          <w:color w:val="auto"/>
          <w:kern w:val="0"/>
          <w:lang w:eastAsia="pt-BR" w:bidi="ar-SA"/>
        </w:rPr>
        <w:t>Art. 6º</w:t>
      </w:r>
      <w:r w:rsidRPr="00526C43">
        <w:rPr>
          <w:rFonts w:ascii="Arial" w:eastAsia="Times New Roman" w:hAnsi="Arial" w:cs="Arial"/>
          <w:snapToGrid w:val="0"/>
          <w:color w:val="auto"/>
          <w:kern w:val="0"/>
          <w:lang w:eastAsia="pt-BR" w:bidi="ar-SA"/>
        </w:rPr>
        <w:t xml:space="preserve"> A utilização das dotações com origem de recursos provenientes de transferências voluntárias, operações de crédito e alienação de bens fica limitada aos efetivos recursos assegurados, nos termos do art. 22 da Lei 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Municipal nº </w:t>
      </w:r>
      <w:bookmarkStart w:id="0" w:name="_Hlk180681806"/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2.861 de 09 de outubro de 2025, que dispõe sobre as Diretrizes Orçamentárias para o exercício de 2026.</w:t>
      </w:r>
      <w:bookmarkEnd w:id="0"/>
    </w:p>
    <w:p w14:paraId="2BD45AB9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snapToGrid w:val="0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7º.</w:t>
      </w:r>
      <w:r w:rsidRPr="00526C43">
        <w:rPr>
          <w:rFonts w:ascii="Arial" w:eastAsia="Times New Roman" w:hAnsi="Arial" w:cs="Arial"/>
          <w:snapToGrid w:val="0"/>
          <w:color w:val="auto"/>
          <w:kern w:val="0"/>
          <w:lang w:eastAsia="pt-BR" w:bidi="ar-SA"/>
        </w:rPr>
        <w:t xml:space="preserve"> Obedecidas as disposições da Lei de Diretrizes Orçamentárias, as transferências financeiras destinadas à Câmara Municipal serão disponibilizadas até o dia 20 de cada mês.</w:t>
      </w:r>
    </w:p>
    <w:p w14:paraId="0CA929B3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8º.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 Prefeito Municipal, nos termos do que dispõe a Lei de Diretrizes Orçamentárias, poderá adotar mecanismos para utilização das dotações, de forma a compatibilizar as despesas à efetiva realização das receitas.</w:t>
      </w:r>
    </w:p>
    <w:p w14:paraId="50B17E3C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EE0000"/>
          <w:kern w:val="0"/>
          <w:lang w:eastAsia="pt-BR" w:bidi="ar-SA"/>
        </w:rPr>
      </w:pPr>
      <w:r w:rsidRPr="00526C4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9º.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Ficam automaticamente atualizados, com base nos valores desta Lei, o montante previsto para as receitas, despesas, resultado primário e resultado nominal previstos na </w:t>
      </w:r>
      <w:bookmarkStart w:id="1" w:name="_Hlk180681830"/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Lei Municipal nº 2.861 de 09 de outubro de 2025, que dispõe sobre as Diretrizes Orçamentárias para o exercício de 2026.</w:t>
      </w:r>
      <w:bookmarkEnd w:id="1"/>
    </w:p>
    <w:p w14:paraId="4444A534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6C4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lastRenderedPageBreak/>
        <w:t>Parágrafo único: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Para </w:t>
      </w:r>
      <w:r w:rsidRPr="00526C43">
        <w:rPr>
          <w:rFonts w:ascii="Arial" w:eastAsia="Times New Roman" w:hAnsi="Arial" w:cs="Arial"/>
          <w:snapToGrid w:val="0"/>
          <w:color w:val="auto"/>
          <w:kern w:val="0"/>
          <w:lang w:eastAsia="pt-BR" w:bidi="ar-SA"/>
        </w:rPr>
        <w:t>efeitos de avaliação do cumprimento das metas fiscais na audiência pública prevista no art. 9</w:t>
      </w:r>
      <w:r w:rsidRPr="00526C43">
        <w:rPr>
          <w:rFonts w:ascii="Arial" w:eastAsia="Times New Roman" w:hAnsi="Arial" w:cs="Arial"/>
          <w:color w:val="auto"/>
          <w:kern w:val="0"/>
          <w:u w:val="single"/>
          <w:vertAlign w:val="superscript"/>
          <w:lang w:eastAsia="pt-BR" w:bidi="ar-SA"/>
        </w:rPr>
        <w:t>o</w:t>
      </w:r>
      <w:r w:rsidRPr="00526C43">
        <w:rPr>
          <w:rFonts w:ascii="Arial" w:eastAsia="Times New Roman" w:hAnsi="Arial" w:cs="Arial"/>
          <w:snapToGrid w:val="0"/>
          <w:color w:val="auto"/>
          <w:kern w:val="0"/>
          <w:lang w:eastAsia="pt-BR" w:bidi="ar-SA"/>
        </w:rPr>
        <w:t>, § 4</w:t>
      </w:r>
      <w:r w:rsidRPr="00526C43">
        <w:rPr>
          <w:rFonts w:ascii="Arial" w:eastAsia="Times New Roman" w:hAnsi="Arial" w:cs="Arial"/>
          <w:color w:val="auto"/>
          <w:kern w:val="0"/>
          <w:u w:val="single"/>
          <w:vertAlign w:val="superscript"/>
          <w:lang w:eastAsia="pt-BR" w:bidi="ar-SA"/>
        </w:rPr>
        <w:t>o</w:t>
      </w:r>
      <w:r w:rsidRPr="00526C43">
        <w:rPr>
          <w:rFonts w:ascii="Arial" w:eastAsia="Times New Roman" w:hAnsi="Arial" w:cs="Arial"/>
          <w:snapToGrid w:val="0"/>
          <w:color w:val="auto"/>
          <w:kern w:val="0"/>
          <w:lang w:eastAsia="pt-BR" w:bidi="ar-SA"/>
        </w:rPr>
        <w:t>, da LC nº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</w:t>
      </w:r>
      <w:r w:rsidRPr="00526C43">
        <w:rPr>
          <w:rFonts w:ascii="Arial" w:eastAsia="Times New Roman" w:hAnsi="Arial" w:cs="Arial"/>
          <w:snapToGrid w:val="0"/>
          <w:color w:val="auto"/>
          <w:kern w:val="0"/>
          <w:lang w:eastAsia="pt-BR" w:bidi="ar-SA"/>
        </w:rPr>
        <w:t>101/2000, as receitas e despesas realizadas, bem como o resultado primário e nominal, apurados pela metodologia acima da linha, serão comparados com as metas ajustadas nos termos do caput deste artigo.</w:t>
      </w:r>
    </w:p>
    <w:p w14:paraId="18829AD4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-1418"/>
        </w:tabs>
        <w:suppressAutoHyphens w:val="0"/>
        <w:spacing w:after="120"/>
        <w:jc w:val="both"/>
        <w:textAlignment w:val="auto"/>
        <w:rPr>
          <w:rFonts w:ascii="Calibri" w:eastAsia="Times New Roman" w:hAnsi="Calibri" w:cs="Times New Roman"/>
          <w:color w:val="EE0000"/>
          <w:kern w:val="0"/>
          <w:lang w:eastAsia="pt-BR" w:bidi="ar-SA"/>
        </w:rPr>
      </w:pPr>
      <w:r w:rsidRPr="00526C4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10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. O Poder Executivo poderá efetuar alterações nos códigos e descrições das funções, subfunções, naturezas de receitas e despesas orçamentárias e fontes de recursos, visando adequá-los às alterações que venham a ser definidas pela Secretaria do Tesouro Nacional (STN) ou pelo Tribunal de Contas do Estado (TCE-RS) ou ainda devido a identificação de inexatidões formais, conforme estabelecido no art. 66 da Lei Municipal nº 2.861 de 09 de outubro de 2025, que dispõe sobre as Diretrizes Orçamentárias para o exercício de 2026</w:t>
      </w:r>
      <w:r w:rsidRPr="00526C43">
        <w:rPr>
          <w:rFonts w:ascii="Arial" w:eastAsia="Times New Roman" w:hAnsi="Arial" w:cs="Arial"/>
          <w:color w:val="EE0000"/>
          <w:kern w:val="0"/>
          <w:lang w:eastAsia="pt-BR" w:bidi="ar-SA"/>
        </w:rPr>
        <w:t>.</w:t>
      </w:r>
    </w:p>
    <w:p w14:paraId="657A6FCF" w14:textId="77777777" w:rsidR="00526C43" w:rsidRPr="00526C43" w:rsidRDefault="00526C43" w:rsidP="00526C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26C4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11</w:t>
      </w:r>
      <w:r w:rsidRPr="00526C43">
        <w:rPr>
          <w:rFonts w:ascii="Arial" w:eastAsia="Times New Roman" w:hAnsi="Arial" w:cs="Arial"/>
          <w:color w:val="auto"/>
          <w:kern w:val="0"/>
          <w:lang w:eastAsia="pt-BR" w:bidi="ar-SA"/>
        </w:rPr>
        <w:t>. Esta Lei entra em vigor na data de sua publicação.</w:t>
      </w:r>
    </w:p>
    <w:p w14:paraId="23E7D487" w14:textId="77777777" w:rsidR="00F82C25" w:rsidRPr="002D14FE" w:rsidRDefault="00F82C25" w:rsidP="00F82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240" w:lineRule="auto"/>
        <w:ind w:right="283"/>
        <w:jc w:val="both"/>
        <w:textAlignment w:val="auto"/>
        <w:rPr>
          <w:color w:val="000000"/>
          <w:sz w:val="28"/>
          <w:szCs w:val="28"/>
        </w:rPr>
      </w:pPr>
    </w:p>
    <w:p w14:paraId="42FBC170" w14:textId="103AEA3E" w:rsidR="0049183D" w:rsidRPr="00D85ECF" w:rsidRDefault="0049183D" w:rsidP="00F82C2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526C43">
        <w:rPr>
          <w:rFonts w:ascii="Arial" w:eastAsia="Arial" w:hAnsi="Arial" w:cs="Arial"/>
        </w:rPr>
        <w:t>09</w:t>
      </w:r>
      <w:r w:rsidRPr="00D85ECF">
        <w:rPr>
          <w:rFonts w:ascii="Arial" w:eastAsia="Arial" w:hAnsi="Arial" w:cs="Arial"/>
        </w:rPr>
        <w:t xml:space="preserve"> de </w:t>
      </w:r>
      <w:r w:rsidR="00526C43">
        <w:rPr>
          <w:rFonts w:ascii="Arial" w:eastAsia="Arial" w:hAnsi="Arial" w:cs="Arial"/>
        </w:rPr>
        <w:t>dezembro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7D72404" w14:textId="19837EDA" w:rsidR="00DB1BE4" w:rsidRDefault="0049183D" w:rsidP="00F82C25">
      <w:pPr>
        <w:pStyle w:val="Corpodetexto"/>
        <w:spacing w:line="240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08210F86" w14:textId="77777777" w:rsidR="00240281" w:rsidRDefault="0024028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A73DE26" w14:textId="77777777" w:rsidR="00526C43" w:rsidRPr="00D85ECF" w:rsidRDefault="00526C43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DB1BE4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1F65B5A"/>
    <w:multiLevelType w:val="hybridMultilevel"/>
    <w:tmpl w:val="1AB87DCA"/>
    <w:lvl w:ilvl="0" w:tplc="4E64A464">
      <w:start w:val="1"/>
      <w:numFmt w:val="upperRoman"/>
      <w:lvlText w:val="%1-"/>
      <w:lvlJc w:val="left"/>
      <w:pPr>
        <w:ind w:left="2203" w:hanging="360"/>
      </w:pPr>
      <w:rPr>
        <w:rFonts w:ascii="Arial" w:eastAsia="Times New Roman" w:hAnsi="Arial" w:cs="Arial"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4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42834"/>
    <w:multiLevelType w:val="hybridMultilevel"/>
    <w:tmpl w:val="353C84EA"/>
    <w:lvl w:ilvl="0" w:tplc="09C8BCB6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b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42D94"/>
    <w:multiLevelType w:val="hybridMultilevel"/>
    <w:tmpl w:val="AD2E58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7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8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2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8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0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8"/>
  </w:num>
  <w:num w:numId="4" w16cid:durableId="75053566">
    <w:abstractNumId w:val="2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8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20"/>
  </w:num>
  <w:num w:numId="12" w16cid:durableId="8854104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1"/>
    <w:lvlOverride w:ilvl="0">
      <w:startOverride w:val="1"/>
    </w:lvlOverride>
  </w:num>
  <w:num w:numId="21" w16cid:durableId="1948344412">
    <w:abstractNumId w:val="16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10"/>
  </w:num>
  <w:num w:numId="25" w16cid:durableId="7597595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3"/>
  </w:num>
  <w:num w:numId="27" w16cid:durableId="665864733">
    <w:abstractNumId w:val="17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39"/>
  </w:num>
  <w:num w:numId="31" w16cid:durableId="589966952">
    <w:abstractNumId w:val="9"/>
  </w:num>
  <w:num w:numId="32" w16cid:durableId="14696622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1"/>
  </w:num>
  <w:num w:numId="34" w16cid:durableId="515341414">
    <w:abstractNumId w:val="27"/>
  </w:num>
  <w:num w:numId="35" w16cid:durableId="1054087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4"/>
  </w:num>
  <w:num w:numId="40" w16cid:durableId="8609819">
    <w:abstractNumId w:val="25"/>
  </w:num>
  <w:num w:numId="41" w16cid:durableId="1679886962">
    <w:abstractNumId w:val="4"/>
  </w:num>
  <w:num w:numId="42" w16cid:durableId="1244487520">
    <w:abstractNumId w:val="22"/>
  </w:num>
  <w:num w:numId="43" w16cid:durableId="1890215764">
    <w:abstractNumId w:val="5"/>
  </w:num>
  <w:num w:numId="44" w16cid:durableId="187836985">
    <w:abstractNumId w:val="6"/>
  </w:num>
  <w:num w:numId="45" w16cid:durableId="145631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773402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4FE7"/>
    <w:rsid w:val="0003553B"/>
    <w:rsid w:val="00047BDB"/>
    <w:rsid w:val="00050F90"/>
    <w:rsid w:val="00072D8D"/>
    <w:rsid w:val="00076A15"/>
    <w:rsid w:val="00084E6C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1460"/>
    <w:rsid w:val="0021568F"/>
    <w:rsid w:val="0022265E"/>
    <w:rsid w:val="00223199"/>
    <w:rsid w:val="00224866"/>
    <w:rsid w:val="002300AF"/>
    <w:rsid w:val="00235AF4"/>
    <w:rsid w:val="002364BB"/>
    <w:rsid w:val="00240281"/>
    <w:rsid w:val="00241FA5"/>
    <w:rsid w:val="0024597D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14FE"/>
    <w:rsid w:val="002D28AB"/>
    <w:rsid w:val="002E2E4D"/>
    <w:rsid w:val="002F1AF7"/>
    <w:rsid w:val="002F68B5"/>
    <w:rsid w:val="00301C04"/>
    <w:rsid w:val="00306992"/>
    <w:rsid w:val="00312DA4"/>
    <w:rsid w:val="00356DE8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3F222B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26C43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0650B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0EDB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26FD"/>
    <w:rsid w:val="007B5A45"/>
    <w:rsid w:val="007C2F57"/>
    <w:rsid w:val="007D3392"/>
    <w:rsid w:val="007D40F4"/>
    <w:rsid w:val="007E2B4A"/>
    <w:rsid w:val="007E45D2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5CC8"/>
    <w:rsid w:val="008E6D84"/>
    <w:rsid w:val="008F1E93"/>
    <w:rsid w:val="008F31F1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1CD3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57683"/>
    <w:rsid w:val="00A73DB1"/>
    <w:rsid w:val="00AB2930"/>
    <w:rsid w:val="00AB4641"/>
    <w:rsid w:val="00AD01DF"/>
    <w:rsid w:val="00AD1384"/>
    <w:rsid w:val="00AD1665"/>
    <w:rsid w:val="00AD2AB9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E5262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47440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B1706"/>
    <w:rsid w:val="00EC140B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82C25"/>
    <w:rsid w:val="00F90763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1187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148</cp:revision>
  <cp:lastPrinted>2025-11-04T12:21:00Z</cp:lastPrinted>
  <dcterms:created xsi:type="dcterms:W3CDTF">2024-04-30T11:49:00Z</dcterms:created>
  <dcterms:modified xsi:type="dcterms:W3CDTF">2025-12-09T11:59:00Z</dcterms:modified>
</cp:coreProperties>
</file>