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</w:t>
      </w:r>
      <w:r>
        <w:rPr>
          <w:rFonts w:cs="Arial;sans-serif" w:ascii="Arial;sans-serif" w:hAnsi="Arial;sans-serif"/>
          <w:b/>
        </w:rPr>
        <w:t>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b/>
          <w:szCs w:val="24"/>
          <w:bCs/>
          <w:rFonts w:ascii="Arial" w:hAnsi="Arial" w:eastAsia="SimSun" w:cs="Arial"/>
          <w:color w:val="auto"/>
          <w:lang w:val="pt-BR" w:eastAsia="en-US" w:bidi="ar-SA"/>
        </w:rPr>
      </w:pPr>
      <w:r>
        <w:rPr>
          <w:rFonts w:cs="Arial" w:ascii="Arial" w:hAnsi="Arial"/>
          <w:b/>
          <w:bCs/>
          <w:color w:val="auto"/>
          <w:sz w:val="24"/>
          <w:szCs w:val="24"/>
          <w:u w:val="single"/>
        </w:rPr>
        <w:t>PROJETO DE LEI Nº 107, DE 26 DE AGOSTO DE 2021.</w:t>
      </w:r>
      <w:r/>
    </w:p>
    <w:p>
      <w:pPr>
        <w:pStyle w:val="Standard"/>
        <w:ind w:left="4395" w:right="0" w:firstLine="283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bookmarkStart w:id="0" w:name="__DdeLink__165_746981046"/>
      <w:bookmarkEnd w:id="0"/>
      <w:r>
        <w:rPr>
          <w:rFonts w:cs="Arial" w:ascii="Arial" w:hAnsi="Arial"/>
          <w:sz w:val="24"/>
          <w:szCs w:val="24"/>
        </w:rPr>
        <w:t>Autoriza o Município de Arroio do Padre a realizar abertura de Crédito Adicional Suplementar no Orçamento Municipal de 2021.</w:t>
      </w:r>
      <w:r/>
    </w:p>
    <w:p>
      <w:pPr>
        <w:pStyle w:val="Standard"/>
        <w:ind w:left="4678" w:right="0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Standard"/>
        <w:jc w:val="both"/>
      </w:pPr>
      <w:r>
        <w:rPr>
          <w:rFonts w:cs="Arial" w:ascii="Arial" w:hAnsi="Arial"/>
          <w:b/>
          <w:bCs/>
          <w:sz w:val="24"/>
          <w:szCs w:val="24"/>
        </w:rPr>
        <w:t xml:space="preserve">Art. 1° </w:t>
      </w:r>
      <w:r>
        <w:rPr>
          <w:rFonts w:cs="Arial" w:ascii="Arial" w:hAnsi="Arial"/>
          <w:sz w:val="24"/>
          <w:szCs w:val="24"/>
        </w:rPr>
        <w:t>Fica autorizado o Município de Arroio do Padre, Poder Executivo, a realizar abertura de Crédito Adicional Suplementar no Orçamento do Município para o exercício de 2021, nos seguintes programas de trabalho e respectivas categorias econômicas e conforme as quantias indicadas:</w:t>
      </w:r>
      <w:r/>
    </w:p>
    <w:p>
      <w:pPr>
        <w:pStyle w:val="Standard"/>
        <w:tabs>
          <w:tab w:val="left" w:pos="567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04 – Secretaria de Educação, Cultura, Esporte e Turismo</w:t>
      </w:r>
      <w:r/>
    </w:p>
    <w:p>
      <w:pPr>
        <w:pStyle w:val="Standard"/>
        <w:tabs>
          <w:tab w:val="left" w:pos="567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02 – Manutenção das Atividades da Educação Infantil</w:t>
      </w:r>
      <w:r/>
    </w:p>
    <w:p>
      <w:pPr>
        <w:pStyle w:val="Standard"/>
        <w:tabs>
          <w:tab w:val="left" w:pos="567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12 – Educação</w:t>
      </w:r>
      <w:r/>
    </w:p>
    <w:p>
      <w:pPr>
        <w:pStyle w:val="Standard"/>
        <w:tabs>
          <w:tab w:val="left" w:pos="567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365 – Educação Infantil</w:t>
      </w:r>
      <w:r/>
    </w:p>
    <w:p>
      <w:pPr>
        <w:pStyle w:val="Standard"/>
        <w:tabs>
          <w:tab w:val="left" w:pos="567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0402 – Manutenção e Desenvolvimento da Educação Infantil</w:t>
      </w:r>
      <w:r/>
    </w:p>
    <w:p>
      <w:pPr>
        <w:pStyle w:val="Standard"/>
        <w:tabs>
          <w:tab w:val="left" w:pos="567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1.408 – Aquisição de Equipamentos e Material Permanente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sz w:val="24"/>
          <w:szCs w:val="24"/>
        </w:rPr>
        <w:t>4.4.90.52.00.00.00 – Equipamentos e Material Permanente. R$ 30.000,00 (trinta mil reais)</w:t>
      </w:r>
      <w:r/>
    </w:p>
    <w:p>
      <w:pPr>
        <w:pStyle w:val="Normal"/>
        <w:spacing w:before="0" w:after="0"/>
        <w:jc w:val="both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sz w:val="24"/>
          <w:szCs w:val="24"/>
        </w:rPr>
        <w:t>Fonte de Recurso: 0036 - Fundeb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04 – Secretaria de Educação, Cultura, Esporte e Turismo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03 – Manutenção das Atividades do Ensino Fundamental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 xml:space="preserve">12 – Educação 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361 – Ensino Fundamental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0403 – Manutenção e Desenvolvimento do Ensino Fundamental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2.413 – Manutenção das Escolas Municipais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4.4.90.52.00.00.00 – Equipamentos e Material Permanente. R$ 120.000,00 (cento e vinte mil reais)</w:t>
      </w:r>
      <w:r/>
    </w:p>
    <w:p>
      <w:pPr>
        <w:pStyle w:val="Standard"/>
        <w:ind w:left="0" w:right="-285" w:hanging="0"/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 xml:space="preserve">Fonte de Recurso: 0036 - Fundeb </w:t>
      </w:r>
      <w:r/>
    </w:p>
    <w:p>
      <w:pPr>
        <w:pStyle w:val="Standard"/>
        <w:tabs>
          <w:tab w:val="left" w:pos="426" w:leader="none"/>
        </w:tabs>
        <w:jc w:val="both"/>
        <w:rPr>
          <w:sz w:val="24"/>
          <w:sz w:val="24"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sz w:val="24"/>
          <w:szCs w:val="24"/>
        </w:rPr>
        <w:t>Valor total do Crédito Adicional Suplementar: R$ 150.000,00 (cento e cinquenta mil reais)</w:t>
      </w:r>
      <w:r/>
    </w:p>
    <w:p>
      <w:pPr>
        <w:pStyle w:val="Standard"/>
        <w:tabs>
          <w:tab w:val="left" w:pos="426" w:leader="none"/>
        </w:tabs>
        <w:jc w:val="both"/>
      </w:pPr>
      <w:r>
        <w:rPr>
          <w:rFonts w:cs="Arial" w:ascii="Arial" w:hAnsi="Arial"/>
          <w:b/>
          <w:bCs/>
          <w:sz w:val="24"/>
          <w:szCs w:val="24"/>
        </w:rPr>
        <w:t xml:space="preserve">Art. 2° </w:t>
      </w:r>
      <w:r>
        <w:rPr>
          <w:rFonts w:cs="Arial" w:ascii="Arial" w:hAnsi="Arial"/>
          <w:sz w:val="24"/>
          <w:szCs w:val="24"/>
        </w:rPr>
        <w:t>Servirão de cobertura para o Crédito Adicional Suplementar de que trata o art. 1° desta Lei, recursos financeiros provenientes do excesso de arrecadação verificado no exercício de 2021 na Fonte de Recurso: 0031 - Fundeb, no valor de R$ 150.000,00 (cento e cinquenta mil reais).</w:t>
      </w:r>
      <w:r/>
    </w:p>
    <w:p>
      <w:pPr>
        <w:pStyle w:val="Standard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both"/>
      </w:pPr>
      <w:r>
        <w:rPr>
          <w:rFonts w:eastAsia="SimSun" w:cs="Arial" w:ascii="Arial" w:hAnsi="Arial"/>
          <w:b/>
          <w:bCs/>
          <w:color w:val="00000A"/>
          <w:sz w:val="24"/>
          <w:szCs w:val="24"/>
          <w:u w:val="none"/>
          <w:lang w:val="pt-BR" w:eastAsia="zh-CN" w:bidi="hi-IN"/>
        </w:rPr>
        <w:t xml:space="preserve">Art. 3° </w:t>
      </w: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u w:val="none"/>
          <w:lang w:val="pt-BR" w:eastAsia="zh-CN" w:bidi="hi-IN"/>
        </w:rPr>
        <w:t>Esta Lei entra em vigor na data de sua publicação.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jc w:val="right"/>
        <w:rPr>
          <w:sz w:val="24"/>
          <w:b w:val="false"/>
          <w:sz w:val="24"/>
          <w:b w:val="false"/>
          <w:szCs w:val="24"/>
          <w:bCs w:val="false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right"/>
      </w:pPr>
      <w:r>
        <w:rPr>
          <w:rFonts w:eastAsia="Arial" w:cs="Arial" w:ascii="Arial" w:hAnsi="Arial"/>
          <w:sz w:val="24"/>
          <w:szCs w:val="24"/>
        </w:rPr>
        <w:t xml:space="preserve">  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Sala de Sessões, </w:t>
      </w:r>
      <w:r>
        <w:rPr>
          <w:rFonts w:eastAsia="Arial" w:cs="Arial" w:ascii="Arial" w:hAnsi="Arial"/>
          <w:color w:val="00000A"/>
          <w:sz w:val="24"/>
          <w:szCs w:val="24"/>
        </w:rPr>
        <w:t>08</w:t>
      </w:r>
      <w:r>
        <w:rPr>
          <w:rFonts w:eastAsia="Arial" w:cs="Arial" w:ascii="Arial" w:hAnsi="Arial"/>
          <w:color w:val="00000A"/>
          <w:sz w:val="24"/>
          <w:szCs w:val="24"/>
        </w:rPr>
        <w:t xml:space="preserve"> de </w:t>
      </w:r>
      <w:r>
        <w:rPr>
          <w:rFonts w:eastAsia="Arial" w:cs="Arial" w:ascii="Arial" w:hAnsi="Arial"/>
          <w:color w:val="00000A"/>
          <w:sz w:val="24"/>
          <w:szCs w:val="24"/>
        </w:rPr>
        <w:t>Setembr</w:t>
      </w:r>
      <w:r>
        <w:rPr>
          <w:rFonts w:eastAsia="Arial" w:cs="Arial" w:ascii="Arial" w:hAnsi="Arial"/>
          <w:color w:val="00000A"/>
          <w:sz w:val="24"/>
          <w:szCs w:val="24"/>
        </w:rPr>
        <w:t>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4"/>
          <w:szCs w:val="24"/>
        </w:rPr>
        <w:t>Autógrafo</w:t>
      </w:r>
      <w:r>
        <w:rPr>
          <w:rFonts w:eastAsia="Arial" w:cs="Arial" w:ascii="Arial" w:hAnsi="Arial"/>
          <w:i/>
          <w:sz w:val="24"/>
          <w:szCs w:val="24"/>
        </w:rPr>
        <w:t xml:space="preserve">     </w:t>
      </w:r>
      <w:r>
        <w:rPr>
          <w:rFonts w:cs="Arial" w:ascii="Arial" w:hAnsi="Arial"/>
          <w:i/>
          <w:sz w:val="24"/>
          <w:szCs w:val="24"/>
        </w:rPr>
        <w:t xml:space="preserve">                                             </w:t>
      </w:r>
      <w:r/>
    </w:p>
    <w:p>
      <w:pPr>
        <w:pStyle w:val="Corpodotexto"/>
        <w:spacing w:lineRule="auto" w:line="276"/>
        <w:jc w:val="center"/>
        <w:rPr>
          <w:sz w:val="26"/>
          <w:i/>
          <w:sz w:val="26"/>
          <w:i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</w:t>
      </w:r>
      <w:r/>
    </w:p>
    <w:p>
      <w:pPr>
        <w:pStyle w:val="Corpodotexto"/>
        <w:spacing w:before="0" w:after="0"/>
        <w:jc w:val="center"/>
        <w:rPr>
          <w:sz w:val="26"/>
          <w:i/>
          <w:b/>
          <w:sz w:val="26"/>
          <w:i/>
          <w:b/>
          <w:szCs w:val="26"/>
          <w:rFonts w:ascii="Arial" w:hAnsi="Arial" w:eastAsia="SimSun" w:cs="Arial"/>
          <w:color w:val="00000A"/>
          <w:lang w:val="pt-BR"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left="0" w:right="-1" w:hanging="0"/>
        <w:jc w:val="center"/>
        <w:rPr>
          <w:sz w:val="26"/>
          <w:b/>
          <w:shd w:fill="FFFFFF" w:val="clear"/>
          <w:sz w:val="26"/>
          <w:b/>
          <w:szCs w:val="26"/>
          <w:bCs/>
          <w:rFonts w:ascii="Arial" w:hAnsi="Arial" w:eastAsia="Arial" w:cs="Arial"/>
          <w:color w:val="00000A"/>
          <w:lang w:val="pt-BR" w:eastAsia="zh-CN" w:bidi="hi-IN"/>
        </w:rPr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>
      <w:keepNext/>
      <w:widowControl w:val="false"/>
      <w:numPr>
        <w:ilvl w:val="0"/>
        <w:numId w:val="0"/>
      </w:numPr>
      <w:suppressAutoHyphens w:val="true"/>
      <w:bidi w:val="0"/>
      <w:spacing w:before="240" w:after="60"/>
      <w:ind w:left="835" w:right="0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pPr>
      <w:keepNext/>
      <w:keepLines/>
      <w:numPr>
        <w:ilvl w:val="0"/>
        <w:numId w:val="0"/>
      </w:numPr>
      <w:spacing w:before="200" w:after="0"/>
      <w:outlineLvl w:val="6"/>
    </w:pPr>
    <w:rPr>
      <w:rFonts w:ascii="Cambria" w:hAnsi="Cambria" w:eastAsia="Times New Roman" w:cs="Times New Roman"/>
      <w:i/>
      <w:iCs/>
      <w:color w:val="404040"/>
    </w:rPr>
  </w:style>
  <w:style w:type="character" w:styleId="DefaultParagraphFont">
    <w:name w:val="Default Paragraph Font"/>
    <w:rPr/>
  </w:style>
  <w:style w:type="character" w:styleId="LinkdaInternet">
    <w:name w:val="Link da Internet"/>
    <w:rPr>
      <w:color w:val="0000FF"/>
      <w:u w:val="single"/>
      <w:lang w:val="pt-BR" w:eastAsia="pt-BR" w:bidi="pt-BR"/>
    </w:rPr>
  </w:style>
  <w:style w:type="character" w:styleId="CabealhoChar">
    <w:name w:val="Cabeçalho Char"/>
    <w:basedOn w:val="DefaultParagraphFont"/>
    <w:rPr/>
  </w:style>
  <w:style w:type="character" w:styleId="RodapChar">
    <w:name w:val="Rodapé Char"/>
    <w:basedOn w:val="DefaultParagraphFont"/>
    <w:rPr/>
  </w:style>
  <w:style w:type="character" w:styleId="TextodebaloChar">
    <w:name w:val="Texto de balão Char"/>
    <w:rPr>
      <w:rFonts w:ascii="Tahoma" w:hAnsi="Tahoma" w:cs="Tahoma"/>
      <w:sz w:val="16"/>
      <w:szCs w:val="16"/>
    </w:rPr>
  </w:style>
  <w:style w:type="character" w:styleId="ListLabel1">
    <w:name w:val="ListLabel 1"/>
    <w:rPr>
      <w:sz w:val="20"/>
    </w:rPr>
  </w:style>
  <w:style w:type="character" w:styleId="ListLabel2">
    <w:name w:val="ListLabel 2"/>
    <w:rPr>
      <w:rFonts w:cs="Times New Roman"/>
    </w:rPr>
  </w:style>
  <w:style w:type="character" w:styleId="Ttulo1Char">
    <w:name w:val="Título 1 Char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>
    <w:name w:val="Título 7 Char"/>
    <w:basedOn w:val="DefaultParagraphFont"/>
    <w:rPr>
      <w:rFonts w:ascii="Cambria" w:hAnsi="Cambria" w:eastAsia="Times New Roman" w:cs="Times New Roman"/>
      <w:i/>
      <w:iCs/>
      <w:color w:val="404040"/>
      <w:sz w:val="22"/>
      <w:szCs w:val="22"/>
    </w:rPr>
  </w:style>
  <w:style w:type="character" w:styleId="CorpodetextoChar">
    <w:name w:val="Corpo de texto Char"/>
    <w:basedOn w:val="DefaultParagraphFont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rPr>
      <w:rFonts w:cs="Arial"/>
      <w:b/>
      <w:sz w:val="24"/>
      <w:szCs w:val="24"/>
    </w:rPr>
  </w:style>
  <w:style w:type="character" w:styleId="ListLabel4">
    <w:name w:val="ListLabel 4"/>
    <w:rPr>
      <w:rFonts w:eastAsia="SimSun"/>
      <w:b/>
      <w:color w:val="00000A"/>
    </w:rPr>
  </w:style>
  <w:style w:type="character" w:styleId="ListLabel5">
    <w:name w:val="ListLabel 5"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>
    <w:name w:val="Padrão"/>
    <w:pPr>
      <w:widowControl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pPr>
      <w:ind w:left="720" w:right="0" w:hanging="0"/>
    </w:pPr>
    <w:rPr/>
  </w:style>
  <w:style w:type="paragraph" w:styleId="WWPadro">
    <w:name w:val="WW-Padrão"/>
    <w:pPr>
      <w:widowControl/>
      <w:tabs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pPr/>
    <w:rPr/>
  </w:style>
  <w:style w:type="paragraph" w:styleId="Contedodatabela">
    <w:name w:val="Conteúdo da tabela"/>
    <w:basedOn w:val="Normal"/>
    <w:pPr/>
    <w:rPr/>
  </w:style>
  <w:style w:type="paragraph" w:styleId="Ttulodetabela">
    <w:name w:val="Título de tabela"/>
    <w:basedOn w:val="Contedodatabela"/>
    <w:pPr/>
    <w:rPr/>
  </w:style>
  <w:style w:type="paragraph" w:styleId="Standard">
    <w:name w:val="Standard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auto"/>
      <w:sz w:val="24"/>
      <w:szCs w:val="24"/>
      <w:lang w:eastAsia="zh-CN" w:bidi="hi-IN" w:val="pt-BR"/>
    </w:rPr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LibreOffice/4.3.4.1$Windows_x86 LibreOffice_project/bc356b2f991740509f321d70e4512a6a54c5f243</Application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2021-09-10T09:03:54Z</dcterms:created>
  <dc:language>pt-BR</dc:language>
  <cp:revision>1</cp:revision>
</cp:coreProperties>
</file>