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</w:t>
      </w:r>
      <w:r>
        <w:rPr>
          <w:rFonts w:ascii="Arial;sans-serif" w:hAnsi="Arial;sans-serif"/>
          <w:b/>
          <w:u w:val="single"/>
        </w:rPr>
        <w:t>PROJETO DE LEI Nº 101, DE 06 DE AGOSTO DE 2021.</w:t>
      </w:r>
      <w:r/>
    </w:p>
    <w:p>
      <w:pPr>
        <w:pStyle w:val="Corpodotexto"/>
        <w:spacing w:before="0" w:after="120"/>
        <w:ind w:left="3828" w:right="0" w:firstLine="567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 para atender a necessidade de excepcional interesse público para o cargo de Orientador Educacional.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Turismo.</w:t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04 (quatro) meses, prorrogável por mais 01 (um) mês,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Orientador Educacional, 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24575" cy="441960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41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45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721"/>
                              <w:gridCol w:w="2647"/>
                              <w:gridCol w:w="2572"/>
                              <w:gridCol w:w="2705"/>
                            </w:tblGrid>
                            <w:tr>
                              <w:trPr/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0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2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Orientador Educacional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R$ 2.886,14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2.25pt;height:34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45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721"/>
                        <w:gridCol w:w="2647"/>
                        <w:gridCol w:w="2572"/>
                        <w:gridCol w:w="2705"/>
                      </w:tblGrid>
                      <w:tr>
                        <w:trPr/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0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70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2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Orientador Educacional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R$ 2.886,14</w:t>
                            </w:r>
                          </w:p>
                        </w:tc>
                        <w:tc>
                          <w:tcPr>
                            <w:tcW w:w="2705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40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>
        <w:rPr/>
        <w:t xml:space="preserve"> 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municipais, 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 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u w:val="single"/>
          <w:b/>
          <w:b/>
          <w:rFonts w:ascii="Arial;sans-serif" w:hAnsi="Arial;sans-serif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1</w:t>
      </w:r>
      <w:r>
        <w:rPr>
          <w:rFonts w:eastAsia="Arial" w:cs="Arial" w:ascii="Arial" w:hAnsi="Arial"/>
          <w:color w:val="00000A"/>
          <w:sz w:val="26"/>
          <w:szCs w:val="26"/>
        </w:rPr>
        <w:t>7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Agosto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2581275</wp:posOffset>
            </wp:positionH>
            <wp:positionV relativeFrom="paragraph">
              <wp:posOffset>294640</wp:posOffset>
            </wp:positionV>
            <wp:extent cx="1009650" cy="932815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Times New Roman" w:cs="Arial" w:ascii="Arial" w:hAnsi="Arial"/>
          <w:b/>
          <w:bCs/>
          <w:color w:val="000000"/>
          <w:sz w:val="22"/>
          <w:szCs w:val="32"/>
          <w:lang w:val="pt-BR" w:eastAsia="pt-BR" w:bidi="ar-SA"/>
        </w:rPr>
        <w:t>ANEXO I – PROJETO DE LEI Nº 101/2021</w:t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2"/>
          <w:b/>
          <w:sz w:val="32"/>
          <w:b/>
          <w:szCs w:val="32"/>
          <w:bCs/>
          <w:rFonts w:ascii="Arial" w:hAnsi="Arial" w:eastAsia="Times New Roman" w:cs="Arial"/>
          <w:lang w:val="pt-BR" w:eastAsia="pt-BR" w:bidi="ar-SA"/>
        </w:rPr>
      </w:pPr>
      <w:r>
        <w:rPr>
          <w:color w:val="000000"/>
        </w:rPr>
      </w:r>
      <w:r/>
    </w:p>
    <w:p>
      <w:pPr>
        <w:pStyle w:val="Corpodotexto"/>
        <w:spacing w:before="0" w:after="120"/>
        <w:jc w:val="center"/>
      </w:pPr>
      <w:r>
        <w:rPr>
          <w:rFonts w:ascii="Arial;sans-serif" w:hAnsi="Arial;sans-serif"/>
          <w:b/>
          <w:i w:val="false"/>
          <w:caps w:val="false"/>
          <w:smallCaps w:val="false"/>
        </w:rPr>
        <w:t xml:space="preserve">CARGO: ORIENTADOR EDUCACIONAL </w:t>
      </w:r>
      <w:r/>
    </w:p>
    <w:p>
      <w:pPr>
        <w:pStyle w:val="Corpodotexto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ATRIBUIÇÕES:</w:t>
      </w:r>
      <w:r/>
    </w:p>
    <w:p>
      <w:pPr>
        <w:pStyle w:val="Corpodotexto"/>
        <w:spacing w:before="120" w:after="120"/>
        <w:jc w:val="both"/>
      </w:pPr>
      <w:r>
        <w:rPr>
          <w:rFonts w:ascii="Arial;sans-serif" w:hAnsi="Arial;sans-serif"/>
          <w:b/>
        </w:rPr>
        <w:tab/>
        <w:t xml:space="preserve">Síntese dos Deveres: </w:t>
      </w:r>
      <w:r>
        <w:rPr>
          <w:rFonts w:ascii="Arial;sans-serif" w:hAnsi="Arial;sans-serif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  <w:r/>
    </w:p>
    <w:p>
      <w:pPr>
        <w:pStyle w:val="Corpodotexto"/>
        <w:spacing w:before="120" w:after="120"/>
        <w:jc w:val="both"/>
      </w:pPr>
      <w:r>
        <w:rPr/>
        <w:tab/>
        <w:t xml:space="preserve"> </w:t>
      </w:r>
      <w:r>
        <w:rPr>
          <w:rFonts w:ascii="Arial;sans-serif" w:hAnsi="Arial;sans-serif"/>
          <w:b/>
        </w:rPr>
        <w:t xml:space="preserve">Exemplos de Atribuições: </w:t>
      </w:r>
      <w:r>
        <w:rPr>
          <w:rFonts w:ascii="Arial;sans-serif" w:hAnsi="Arial;sans-serif"/>
        </w:rPr>
        <w:t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avaliar  o andamento do processo educacional e a recuperação dos alunos; fazer encaminhamento dos alunos estagiários; trabalhar com a integração escola-família-comunidade; demais atividades correlatas e/ou necessárias ao exercício do cargo.</w:t>
      </w:r>
      <w:r/>
    </w:p>
    <w:p>
      <w:pPr>
        <w:pStyle w:val="Corpodotexto"/>
        <w:spacing w:before="120" w:after="200"/>
        <w:ind w:left="709" w:right="0" w:hanging="0"/>
        <w:jc w:val="both"/>
      </w:pPr>
      <w:r>
        <w:rPr>
          <w:rFonts w:ascii="Arial;sans-serif" w:hAnsi="Arial;sans-serif"/>
          <w:b/>
        </w:rPr>
        <w:t>Condições de Trabalho:</w:t>
      </w:r>
      <w:r/>
    </w:p>
    <w:p>
      <w:pPr>
        <w:pStyle w:val="Corpodotexto"/>
        <w:spacing w:before="120" w:after="200"/>
        <w:ind w:left="709" w:right="0" w:hanging="0"/>
        <w:jc w:val="both"/>
      </w:pPr>
      <w:r>
        <w:rPr>
          <w:rFonts w:ascii="Arial;sans-serif" w:hAnsi="Arial;sans-serif"/>
        </w:rPr>
        <w:t>a)</w:t>
      </w:r>
      <w:r>
        <w:rPr/>
        <w:t xml:space="preserve"> </w:t>
      </w:r>
      <w:r>
        <w:rPr>
          <w:rFonts w:ascii="Arial;sans-serif" w:hAnsi="Arial;sans-serif"/>
        </w:rPr>
        <w:t>Carga horária semanal de 40 horas.</w:t>
      </w:r>
      <w:r/>
    </w:p>
    <w:p>
      <w:pPr>
        <w:pStyle w:val="Corpodotexto"/>
        <w:spacing w:before="120" w:after="200"/>
        <w:ind w:left="709" w:right="0" w:hanging="0"/>
        <w:jc w:val="both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Requisitos para investidura:</w:t>
      </w:r>
      <w:r/>
    </w:p>
    <w:p>
      <w:pPr>
        <w:pStyle w:val="Corpodotexto"/>
        <w:spacing w:before="120" w:after="200"/>
        <w:ind w:left="709" w:right="0" w:hanging="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a) Instrução: Formação em curso superior de Pedagogia ou Pós-Graduação em Pedagogia com habilitação específica em Orientação Educacional.</w:t>
      </w:r>
      <w:r/>
    </w:p>
    <w:p>
      <w:pPr>
        <w:pStyle w:val="Corpodotexto"/>
        <w:spacing w:before="120" w:after="200"/>
        <w:ind w:left="709" w:right="0" w:hanging="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b) Idade: Mínima: 18 anos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lang w:val="pt-BR" w:eastAsia="pt-BR" w:bidi="ar-SA"/>
        </w:rPr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left="835" w:right="-1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7643</TotalTime>
  <Application>LibreOffice/4.3.4.1$Windows_x86 LibreOffice_project/bc356b2f991740509f321d70e4512a6a54c5f243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2021-08-17T08:41:03Z</cp:lastPrinted>
  <dcterms:modified xsi:type="dcterms:W3CDTF">2021-08-17T08:42:42Z</dcterms:modified>
  <cp:revision>101</cp:revision>
</cp:coreProperties>
</file>