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line">
              <wp:posOffset>43815</wp:posOffset>
            </wp:positionV>
            <wp:extent cx="952500" cy="106680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</w:pPr>
      <w:r>
        <w:rPr>
          <w:rFonts w:ascii="Verdana;sans-serif" w:hAnsi="Verdana;sans-serif"/>
          <w:b/>
          <w:sz w:val="28"/>
        </w:rPr>
        <w:t>Câmara Municipal de Vereadores de Arroio do Padre</w:t>
      </w:r>
      <w:r/>
    </w:p>
    <w:p>
      <w:pPr>
        <w:pStyle w:val="Corpodotexto"/>
        <w:spacing w:lineRule="auto" w:line="288" w:before="0" w:after="0"/>
        <w:jc w:val="center"/>
        <w:rPr>
          <w:sz w:val="28"/>
          <w:u w:val="single"/>
          <w:b/>
          <w:sz w:val="24"/>
          <w:szCs w:val="24"/>
          <w:rFonts w:ascii="Arial;sans-serif" w:hAnsi="Arial;sans-serif" w:eastAsia="SimSun" w:cs="Mangal"/>
          <w:lang w:eastAsia="zh-CN" w:bidi="hi-IN"/>
        </w:rPr>
      </w:pPr>
      <w:r>
        <w:rPr>
          <w:rFonts w:ascii="Arial;sans-serif" w:hAnsi="Arial;sans-serif"/>
          <w:b/>
          <w:sz w:val="28"/>
          <w:u w:val="single"/>
        </w:rPr>
        <w:t>Redação Final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2"/>
          <w:sz w:val="22"/>
          <w:szCs w:val="22"/>
          <w:rFonts w:eastAsia="SimSun"/>
          <w:color w:val="00000A"/>
          <w:lang w:eastAsia="en-US"/>
        </w:rPr>
      </w:pPr>
      <w:r>
        <w:rPr/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sz w:val="22"/>
          <w:szCs w:val="22"/>
          <w:u w:val="single"/>
        </w:rPr>
        <w:t>PROJETO DE LEI COMPLEMENTAR Nº 01, DE 24 DE ABRIL DE 2018.</w:t>
      </w:r>
      <w:r/>
    </w:p>
    <w:p>
      <w:pPr>
        <w:pStyle w:val="Normal"/>
        <w:ind w:left="3119" w:hanging="0"/>
        <w:jc w:val="both"/>
        <w:rPr>
          <w:b/>
          <w:b/>
          <w:bCs/>
          <w:rFonts w:ascii="Arial" w:hAnsi="Arial" w:cs="Arial"/>
        </w:rPr>
      </w:pPr>
      <w:r>
        <w:rPr>
          <w:rFonts w:cs="Arial" w:ascii="Arial" w:hAnsi="Arial"/>
          <w:b/>
          <w:bCs/>
          <w:sz w:val="22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Altera o art. 54 A e respectivos parágrafos da Lei Complementar Nº 12 de 19 de novembro de 2009 </w:t>
      </w:r>
      <w:r>
        <w:rPr>
          <w:rFonts w:cs="Arial" w:ascii="Arial" w:hAnsi="Arial"/>
          <w:b/>
          <w:bCs/>
          <w:sz w:val="22"/>
          <w:szCs w:val="22"/>
          <w:u w:val="single"/>
        </w:rPr>
        <w:t>e revoga a Lei Complementar n° 14 de 17 de abril de 2013</w:t>
      </w:r>
      <w:r>
        <w:rPr>
          <w:rFonts w:cs="Arial" w:ascii="Arial" w:hAnsi="Arial"/>
          <w:b/>
          <w:bCs/>
          <w:sz w:val="22"/>
          <w:szCs w:val="22"/>
          <w:u w:val="single"/>
        </w:rPr>
        <w:t>.</w:t>
      </w:r>
      <w:r/>
    </w:p>
    <w:p>
      <w:pPr>
        <w:pStyle w:val="Normal"/>
        <w:spacing w:before="240" w:after="20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1º </w:t>
      </w:r>
      <w:r>
        <w:rPr>
          <w:rFonts w:cs="Arial" w:ascii="Arial" w:hAnsi="Arial"/>
          <w:sz w:val="22"/>
          <w:szCs w:val="22"/>
        </w:rPr>
        <w:t xml:space="preserve">A presente Lei </w:t>
      </w:r>
      <w:r>
        <w:rPr>
          <w:rFonts w:cs="Arial" w:ascii="Arial" w:hAnsi="Arial"/>
          <w:b/>
          <w:bCs/>
          <w:sz w:val="22"/>
          <w:szCs w:val="22"/>
          <w:u w:val="single"/>
        </w:rPr>
        <w:t>Comple</w:t>
      </w:r>
      <w:r>
        <w:rPr>
          <w:rFonts w:cs="Arial" w:ascii="Arial" w:hAnsi="Arial"/>
          <w:b/>
          <w:bCs/>
          <w:sz w:val="22"/>
          <w:szCs w:val="22"/>
          <w:u w:val="single"/>
        </w:rPr>
        <w:t>men</w:t>
      </w:r>
      <w:r>
        <w:rPr>
          <w:rFonts w:cs="Arial" w:ascii="Arial" w:hAnsi="Arial"/>
          <w:b/>
          <w:bCs/>
          <w:sz w:val="22"/>
          <w:szCs w:val="22"/>
          <w:u w:val="single"/>
        </w:rPr>
        <w:t>tar</w:t>
      </w:r>
      <w:r>
        <w:rPr>
          <w:rFonts w:cs="Arial" w:ascii="Arial" w:hAnsi="Arial"/>
          <w:sz w:val="22"/>
          <w:szCs w:val="22"/>
        </w:rPr>
        <w:t xml:space="preserve"> altera o art. 54 A da Lei Complementar Nº 12 de 19 de novembro de 2009.</w:t>
      </w:r>
      <w:r/>
    </w:p>
    <w:p>
      <w:pPr>
        <w:pStyle w:val="Normal"/>
        <w:spacing w:before="240" w:after="20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 xml:space="preserve">Art. 2º </w:t>
      </w:r>
      <w:r>
        <w:rPr>
          <w:rFonts w:cs="Arial" w:ascii="Arial" w:hAnsi="Arial"/>
          <w:sz w:val="22"/>
          <w:szCs w:val="22"/>
        </w:rPr>
        <w:t xml:space="preserve">O art. 54 A da Lei Complementar 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Nº 12 de 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19 de </w:t>
      </w:r>
      <w:r>
        <w:rPr>
          <w:rFonts w:cs="Arial" w:ascii="Arial" w:hAnsi="Arial"/>
          <w:b/>
          <w:bCs/>
          <w:sz w:val="22"/>
          <w:szCs w:val="22"/>
          <w:u w:val="single"/>
        </w:rPr>
        <w:t>novembro</w:t>
      </w:r>
      <w:r>
        <w:rPr>
          <w:rFonts w:cs="Arial" w:ascii="Arial" w:hAnsi="Arial"/>
          <w:sz w:val="22"/>
          <w:szCs w:val="22"/>
        </w:rPr>
        <w:t xml:space="preserve"> de 2009 passará a vigor com a seguinte redação:</w:t>
      </w:r>
      <w:r/>
    </w:p>
    <w:p>
      <w:pPr>
        <w:pStyle w:val="Normal"/>
        <w:spacing w:before="240" w:after="200"/>
        <w:ind w:left="705" w:hanging="0"/>
        <w:jc w:val="both"/>
        <w:rPr>
          <w:i/>
          <w:i/>
          <w:rFonts w:ascii="Arial" w:hAnsi="Arial" w:cs="Arial"/>
        </w:rPr>
      </w:pPr>
      <w:r>
        <w:rPr>
          <w:rFonts w:cs="Arial" w:ascii="Arial" w:hAnsi="Arial"/>
          <w:b/>
          <w:i/>
          <w:sz w:val="22"/>
          <w:szCs w:val="22"/>
        </w:rPr>
        <w:t xml:space="preserve">Art. 54 A </w:t>
      </w:r>
      <w:r>
        <w:rPr>
          <w:rFonts w:cs="Arial" w:ascii="Arial" w:hAnsi="Arial"/>
          <w:i/>
          <w:sz w:val="22"/>
          <w:szCs w:val="22"/>
        </w:rPr>
        <w:t>É facultado aos servidores efetivos do Município a redução ou acréscimo da carga horária do respectivo cargo, mediante acordo individual escrito, não ultrapassando a alteração, o limite máximo de 40 (quarenta) horas semanais e o mínimo 8 (oito) horas semanais.</w:t>
      </w:r>
      <w:r/>
    </w:p>
    <w:p>
      <w:pPr>
        <w:pStyle w:val="Normal"/>
        <w:spacing w:before="240" w:after="200"/>
        <w:ind w:left="705" w:hanging="0"/>
        <w:jc w:val="both"/>
        <w:rPr>
          <w:i/>
          <w:i/>
          <w:rFonts w:ascii="Arial" w:hAnsi="Arial" w:cs="Arial"/>
        </w:rPr>
      </w:pPr>
      <w:r>
        <w:rPr>
          <w:rFonts w:cs="Arial" w:ascii="Arial" w:hAnsi="Arial"/>
          <w:b/>
          <w:i/>
          <w:sz w:val="22"/>
          <w:szCs w:val="22"/>
        </w:rPr>
        <w:t xml:space="preserve">§1º </w:t>
      </w:r>
      <w:r>
        <w:rPr>
          <w:rFonts w:cs="Arial" w:ascii="Arial" w:hAnsi="Arial"/>
          <w:i/>
          <w:sz w:val="22"/>
          <w:szCs w:val="22"/>
        </w:rPr>
        <w:t>A alteração do regime normal de trabalho implica necessariamente no ajustamento do vencimento básico na mesma base do regime normal, observando-se a proporcionalidade do número de horas a ser reduzidas ou acrescidas, limitando-se em 40 (quarenta) horas semanais, no máximo, e de 08 (oito)</w:t>
      </w:r>
      <w:bookmarkStart w:id="0" w:name="_GoBack"/>
      <w:bookmarkEnd w:id="0"/>
      <w:r>
        <w:rPr>
          <w:rFonts w:cs="Arial" w:ascii="Arial" w:hAnsi="Arial"/>
          <w:i/>
          <w:sz w:val="22"/>
          <w:szCs w:val="22"/>
        </w:rPr>
        <w:t xml:space="preserve"> semanais, no mínimo.</w:t>
      </w:r>
      <w:r/>
    </w:p>
    <w:p>
      <w:pPr>
        <w:pStyle w:val="Normal"/>
        <w:spacing w:before="240" w:after="200"/>
        <w:ind w:left="705" w:hanging="0"/>
        <w:jc w:val="both"/>
        <w:rPr>
          <w:i/>
          <w:i/>
          <w:rFonts w:ascii="Arial" w:hAnsi="Arial" w:cs="Arial"/>
        </w:rPr>
      </w:pPr>
      <w:r>
        <w:rPr>
          <w:rFonts w:cs="Arial" w:ascii="Arial" w:hAnsi="Arial"/>
          <w:b/>
          <w:i/>
          <w:sz w:val="22"/>
          <w:szCs w:val="22"/>
        </w:rPr>
        <w:t xml:space="preserve">§2º </w:t>
      </w:r>
      <w:r>
        <w:rPr>
          <w:rFonts w:cs="Arial" w:ascii="Arial" w:hAnsi="Arial"/>
          <w:i/>
          <w:sz w:val="22"/>
          <w:szCs w:val="22"/>
        </w:rPr>
        <w:t>A alteração do regime normal de trabalho será por prazo determinado, de no mínimo 03 (três) meses e no máximo de 24 (vinte e quatro) meses, podendo ser prorrogado, e dependerá da expressa vontade do servidor e de despacho favorável do Prefeito Municipal, em oficio fundamentado do titular do setor de lotação, no qual fique demostrada a real necessidade ou disponibilidade do serviço na carga horária semanal a ser alterada conforme indicado.</w:t>
      </w:r>
      <w:r/>
    </w:p>
    <w:p>
      <w:pPr>
        <w:pStyle w:val="Normal"/>
        <w:spacing w:before="240" w:after="200"/>
        <w:ind w:left="705" w:hanging="0"/>
        <w:jc w:val="both"/>
      </w:pPr>
      <w:r>
        <w:rPr>
          <w:rFonts w:cs="Arial" w:ascii="Arial" w:hAnsi="Arial"/>
          <w:b/>
          <w:i/>
          <w:sz w:val="22"/>
          <w:szCs w:val="22"/>
        </w:rPr>
        <w:t xml:space="preserve">§3º </w:t>
      </w:r>
      <w:r>
        <w:rPr>
          <w:rFonts w:cs="Arial" w:ascii="Arial" w:hAnsi="Arial"/>
          <w:i/>
          <w:sz w:val="22"/>
          <w:szCs w:val="22"/>
        </w:rPr>
        <w:t xml:space="preserve">Em havendo a necessidade do cumprimento integral do regime normal de trabalho do servidor antes do período estabelecido, este </w:t>
      </w:r>
      <w:r>
        <w:rPr>
          <w:rFonts w:cs="Arial" w:ascii="Arial" w:hAnsi="Arial"/>
          <w:b/>
          <w:bCs/>
          <w:i/>
          <w:sz w:val="22"/>
          <w:szCs w:val="22"/>
          <w:u w:val="single"/>
        </w:rPr>
        <w:t xml:space="preserve">deverá </w:t>
      </w:r>
      <w:r>
        <w:rPr>
          <w:rFonts w:cs="Arial" w:ascii="Arial" w:hAnsi="Arial"/>
          <w:b/>
          <w:bCs/>
          <w:i/>
          <w:sz w:val="22"/>
          <w:szCs w:val="22"/>
          <w:u w:val="single"/>
        </w:rPr>
        <w:t xml:space="preserve">ser </w:t>
      </w:r>
      <w:r>
        <w:rPr>
          <w:rFonts w:cs="Arial" w:ascii="Arial" w:hAnsi="Arial"/>
          <w:b/>
          <w:bCs/>
          <w:i/>
          <w:sz w:val="22"/>
          <w:szCs w:val="22"/>
          <w:u w:val="single"/>
        </w:rPr>
        <w:t>informado</w:t>
      </w:r>
      <w:r>
        <w:rPr>
          <w:rFonts w:cs="Arial" w:ascii="Arial" w:hAnsi="Arial"/>
          <w:i/>
          <w:sz w:val="22"/>
          <w:szCs w:val="22"/>
        </w:rPr>
        <w:t>, entre as partes, formalmente devendo haver o retorno a carga horária normal no prazo máximo de 30 (trinta) dias.</w:t>
      </w:r>
      <w:r/>
    </w:p>
    <w:p>
      <w:pPr>
        <w:pStyle w:val="Normal"/>
        <w:spacing w:before="240" w:after="200"/>
        <w:jc w:val="both"/>
      </w:pPr>
      <w:r>
        <w:rPr>
          <w:rFonts w:cs="Arial" w:ascii="Arial" w:hAnsi="Arial"/>
          <w:b/>
          <w:bCs/>
          <w:sz w:val="22"/>
          <w:szCs w:val="22"/>
        </w:rPr>
        <w:t xml:space="preserve">Art. 3º </w:t>
      </w:r>
      <w:r>
        <w:rPr>
          <w:rFonts w:cs="Arial" w:ascii="Arial" w:hAnsi="Arial"/>
          <w:bCs/>
          <w:sz w:val="22"/>
          <w:szCs w:val="22"/>
        </w:rPr>
        <w:t xml:space="preserve">Fica revogada a Lei Complementar Nº 14 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de 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17 de </w:t>
      </w:r>
      <w:r>
        <w:rPr>
          <w:rFonts w:cs="Arial" w:ascii="Arial" w:hAnsi="Arial"/>
          <w:b/>
          <w:bCs/>
          <w:sz w:val="22"/>
          <w:szCs w:val="22"/>
          <w:u w:val="single"/>
        </w:rPr>
        <w:t>abril</w:t>
      </w:r>
      <w:r>
        <w:rPr>
          <w:rFonts w:cs="Arial" w:ascii="Arial" w:hAnsi="Arial"/>
          <w:bCs/>
          <w:sz w:val="22"/>
          <w:szCs w:val="22"/>
        </w:rPr>
        <w:t xml:space="preserve"> de 2013.</w:t>
      </w:r>
      <w:r/>
    </w:p>
    <w:p>
      <w:pPr>
        <w:pStyle w:val="Normal"/>
        <w:spacing w:before="240" w:after="200"/>
        <w:jc w:val="both"/>
      </w:pPr>
      <w:r>
        <w:rPr>
          <w:rFonts w:cs="Arial" w:ascii="Arial" w:hAnsi="Arial"/>
          <w:b/>
          <w:bCs/>
          <w:sz w:val="22"/>
          <w:szCs w:val="22"/>
        </w:rPr>
        <w:t xml:space="preserve">Art. 4º </w:t>
      </w:r>
      <w:r>
        <w:rPr>
          <w:rFonts w:cs="Arial" w:ascii="Arial" w:hAnsi="Arial"/>
          <w:bCs/>
          <w:sz w:val="22"/>
          <w:szCs w:val="22"/>
        </w:rPr>
        <w:t>Esta Lei Complementar entra em vigor na data de sua publicação.</w:t>
      </w:r>
      <w:r/>
    </w:p>
    <w:p>
      <w:pPr>
        <w:pStyle w:val="Normal"/>
        <w:spacing w:before="240" w:after="200"/>
        <w:jc w:val="both"/>
      </w:pPr>
      <w:r>
        <w:rPr>
          <w:rFonts w:cs="Arial" w:ascii="Arial" w:hAnsi="Arial"/>
          <w:b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Sala de Sessões, </w:t>
      </w:r>
      <w:r>
        <w:rPr>
          <w:rFonts w:ascii="Arial" w:hAnsi="Arial"/>
          <w:sz w:val="22"/>
          <w:szCs w:val="22"/>
        </w:rPr>
        <w:t>29 de maio</w:t>
      </w:r>
      <w:r>
        <w:rPr>
          <w:rFonts w:ascii="Arial" w:hAnsi="Arial"/>
          <w:sz w:val="22"/>
          <w:szCs w:val="22"/>
        </w:rPr>
        <w:t xml:space="preserve"> de 2018. Autógrafo:</w:t>
      </w:r>
      <w:r/>
    </w:p>
    <w:p>
      <w:pPr>
        <w:pStyle w:val="Corpodotexto"/>
        <w:spacing w:before="0" w:after="0"/>
      </w:pPr>
      <w:r>
        <w:rPr/>
        <w:t xml:space="preserve">                                       </w:t>
      </w:r>
      <w:r>
        <w:rPr>
          <w:rFonts w:ascii="Arial;sans-serif" w:hAnsi="Arial;sans-serif"/>
          <w:i/>
        </w:rPr>
        <w:t>___________________________________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szCs w:val="24"/>
          <w:rFonts w:ascii="Arial;sans-serif" w:hAnsi="Arial;sans-serif" w:eastAsia="SimSun" w:cs="Mangal"/>
          <w:lang w:eastAsia="zh-CN" w:bidi="hi-IN"/>
        </w:rPr>
      </w:pPr>
      <w:r>
        <w:rPr>
          <w:rFonts w:ascii="Arial;sans-serif" w:hAnsi="Arial;sans-serif"/>
          <w:b/>
          <w:i/>
        </w:rPr>
        <w:t>Dario Venzke</w:t>
      </w:r>
      <w:r/>
    </w:p>
    <w:p>
      <w:pPr>
        <w:pStyle w:val="Corpodotexto"/>
        <w:spacing w:before="0" w:after="0"/>
        <w:jc w:val="center"/>
      </w:pPr>
      <w:r>
        <w:rPr>
          <w:rFonts w:ascii="Arial;sans-serif" w:hAnsi="Arial;sans-serif"/>
        </w:rPr>
        <w:t>Presidente da Câmara de Vereadores</w:t>
      </w:r>
      <w:r/>
    </w:p>
    <w:p>
      <w:pPr>
        <w:pStyle w:val="Padro"/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/>
      </w:r>
      <w:r/>
    </w:p>
    <w:sectPr>
      <w:headerReference w:type="default" r:id="rId3"/>
      <w:type w:val="nextPage"/>
      <w:pgSz w:w="11906" w:h="16838"/>
      <w:pgMar w:left="1080" w:right="1080" w:header="708" w:top="765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Verdana">
    <w:altName w:val="sans-serif"/>
    <w:charset w:val="00"/>
    <w:family w:val="auto"/>
    <w:pitch w:val="default"/>
  </w:font>
  <w:font w:name="Arial">
    <w:altName w:val="sans-serif"/>
    <w:charset w:val="00"/>
    <w:family w:val="auto"/>
    <w:pitch w:val="default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eastAsia="SimSun"/>
        <w:color w:val="00000A"/>
        <w:lang w:eastAsia="en-US"/>
      </w:rPr>
    </w:pPr>
    <w:r>
      <w:rPr/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paragraph" w:styleId="Ttulo1">
    <w:name w:val="Título 1"/>
    <w:link w:val="Ttulo1Char"/>
    <w:rsid w:val="007b3be2"/>
    <w:pPr>
      <w:keepNext/>
      <w:widowControl w:val="false"/>
      <w:suppressAutoHyphens w:val="tru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sz w:val="24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ascii="Times New Roman" w:hAnsi="Times New Roman"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 w:customStyle="1">
    <w:name w:val="Índice"/>
    <w:basedOn w:val="Padro"/>
    <w:rsid w:val="00e21cc9"/>
    <w:pPr>
      <w:suppressLineNumbers/>
    </w:pPr>
    <w:rPr>
      <w:rFonts w:ascii="Times New Roman" w:hAnsi="Times New Roman" w:cs="Mangal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sz w:val="22"/>
      <w:szCs w:val="22"/>
      <w:lang w:eastAsia="en-US" w:val="pt-BR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uiPriority w:val="34"/>
    <w:qFormat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5AB-CE77-43A1-ACB5-B2495AF2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Application>LibreOffice/4.3.4.1$Windows_x86 LibreOffice_project/bc356b2f991740509f321d70e4512a6a54c5f243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2018-05-07T17:37:00Z</dcterms:created>
  <dc:creator>Adm-04</dc:creator>
  <dc:language>pt-BR</dc:language>
  <cp:lastPrinted>2018-03-19T16:48:00Z</cp:lastPrinted>
  <dcterms:modified xsi:type="dcterms:W3CDTF">2018-05-29T09:00:58Z</dcterms:modified>
  <cp:revision>19</cp:revision>
</cp:coreProperties>
</file>