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3831" w:leader="none"/>
          <w:tab w:val="right" w:pos="9746" w:leader="none"/>
        </w:tabs>
        <w:spacing w:lineRule="auto" w:line="240"/>
        <w:jc w:val="both"/>
        <w:rPr/>
      </w:pPr>
      <w:r>
        <w:rPr>
          <w:rFonts w:eastAsia="Arial" w:cs="Arial" w:ascii="Arial" w:hAnsi="Arial"/>
          <w:b/>
          <w:color w:val="00000A"/>
          <w:shd w:fill="FFFFFF" w:val="clear"/>
        </w:rPr>
        <w:t>PROMULGAÇ</w:t>
      </w:r>
      <w:r>
        <w:rPr>
          <w:rFonts w:eastAsia="Arial" w:cs="Arial" w:ascii="Arial" w:hAnsi="Arial"/>
          <w:b/>
          <w:color w:val="00000A"/>
          <w:shd w:fill="FFFFFF" w:val="clear"/>
        </w:rPr>
        <w:t>Ã</w:t>
      </w:r>
      <w:r>
        <w:rPr>
          <w:rFonts w:eastAsia="Arial" w:cs="Arial" w:ascii="Arial" w:hAnsi="Arial"/>
          <w:b/>
          <w:color w:val="00000A"/>
          <w:shd w:fill="FFFFFF" w:val="clear"/>
        </w:rPr>
        <w:t>O DE EMENDA A LEI ORGÂNICA MUNICIPAL Nº 0</w:t>
      </w:r>
      <w:r>
        <w:rPr>
          <w:rFonts w:eastAsia="Arial" w:cs="Arial" w:ascii="Arial" w:hAnsi="Arial"/>
          <w:b/>
          <w:color w:val="00000A"/>
          <w:shd w:fill="FFFFFF" w:val="clear"/>
        </w:rPr>
        <w:t>2</w:t>
      </w:r>
      <w:r>
        <w:rPr>
          <w:rFonts w:eastAsia="Arial" w:cs="Arial" w:ascii="Arial" w:hAnsi="Arial"/>
          <w:b/>
          <w:color w:val="00000A"/>
          <w:shd w:fill="FFFFFF" w:val="clear"/>
        </w:rPr>
        <w:t xml:space="preserve">, DE </w:t>
      </w:r>
      <w:r>
        <w:rPr>
          <w:rFonts w:eastAsia="Arial" w:cs="Arial" w:ascii="Arial" w:hAnsi="Arial"/>
          <w:b/>
          <w:color w:val="00000A"/>
          <w:shd w:fill="FFFFFF" w:val="clear"/>
        </w:rPr>
        <w:t>21</w:t>
      </w:r>
      <w:r>
        <w:rPr>
          <w:rFonts w:eastAsia="Arial" w:cs="Arial" w:ascii="Arial" w:hAnsi="Arial"/>
          <w:b/>
          <w:color w:val="00000A"/>
          <w:shd w:fill="FFFFFF" w:val="clear"/>
        </w:rPr>
        <w:t xml:space="preserve"> DE </w:t>
      </w:r>
      <w:r>
        <w:rPr>
          <w:rFonts w:eastAsia="Arial" w:cs="Arial" w:ascii="Arial" w:hAnsi="Arial"/>
          <w:b/>
          <w:color w:val="00000A"/>
          <w:shd w:fill="FFFFFF" w:val="clear"/>
        </w:rPr>
        <w:t>JUNHO</w:t>
      </w:r>
      <w:r>
        <w:rPr>
          <w:rFonts w:eastAsia="Arial" w:cs="Arial" w:ascii="Arial" w:hAnsi="Arial"/>
          <w:b/>
          <w:color w:val="00000A"/>
          <w:shd w:fill="FFFFFF" w:val="clear"/>
        </w:rPr>
        <w:t xml:space="preserve"> </w:t>
      </w:r>
      <w:r>
        <w:rPr>
          <w:rFonts w:eastAsia="Arial" w:cs="Arial" w:ascii="Arial" w:hAnsi="Arial"/>
          <w:b/>
          <w:color w:val="00000A"/>
          <w:shd w:fill="FFFFFF" w:val="clear"/>
        </w:rPr>
        <w:t>DE</w:t>
      </w:r>
      <w:r>
        <w:rPr>
          <w:rFonts w:eastAsia="Arial" w:cs="Arial" w:ascii="Arial" w:hAnsi="Arial"/>
          <w:b/>
          <w:color w:val="00000A"/>
          <w:shd w:fill="FFFFFF" w:val="clear"/>
        </w:rPr>
        <w:t xml:space="preserve"> 202</w:t>
      </w:r>
      <w:r>
        <w:rPr>
          <w:rFonts w:eastAsia="Arial" w:cs="Arial" w:ascii="Arial" w:hAnsi="Arial"/>
          <w:b/>
          <w:color w:val="00000A"/>
          <w:shd w:fill="FFFFFF" w:val="clear"/>
        </w:rPr>
        <w:t>1</w:t>
      </w:r>
      <w:r>
        <w:rPr>
          <w:rFonts w:eastAsia="Arial" w:cs="Arial" w:ascii="Arial" w:hAnsi="Arial"/>
          <w:b/>
          <w:color w:val="00000A"/>
          <w:shd w:fill="FFFFFF" w:val="clear"/>
        </w:rPr>
        <w:t>.</w:t>
      </w:r>
    </w:p>
    <w:p>
      <w:pPr>
        <w:pStyle w:val="Normal"/>
        <w:tabs>
          <w:tab w:val="left" w:pos="3831" w:leader="none"/>
          <w:tab w:val="right" w:pos="9746" w:leader="none"/>
        </w:tabs>
        <w:spacing w:lineRule="auto" w:line="240"/>
        <w:jc w:val="both"/>
        <w:rPr>
          <w:rFonts w:ascii="Arial" w:hAnsi="Arial" w:eastAsia="Arial" w:cs="Arial"/>
          <w:b/>
          <w:b/>
          <w:color w:val="00000A"/>
          <w:highlight w:val="white"/>
        </w:rPr>
      </w:pPr>
      <w:r>
        <w:rPr/>
      </w:r>
    </w:p>
    <w:p>
      <w:pPr>
        <w:pStyle w:val="Normal"/>
        <w:tabs>
          <w:tab w:val="left" w:pos="8228" w:leader="none"/>
        </w:tabs>
        <w:spacing w:lineRule="auto" w:line="240" w:before="0" w:after="200"/>
        <w:jc w:val="both"/>
        <w:rPr>
          <w:rFonts w:ascii="Arial" w:hAnsi="Arial" w:cs="Arial"/>
          <w:b w:val="false"/>
          <w:b w:val="false"/>
          <w:color w:val="000000"/>
          <w:sz w:val="24"/>
          <w:szCs w:val="24"/>
          <w:lang w:eastAsia="zh-CN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  <w:shd w:fill="FFFFFF" w:val="clear"/>
          <w:lang w:eastAsia="zh-CN"/>
        </w:rPr>
        <w:t xml:space="preserve">A MESA DIRETORA DA CÂMARA MUNICIPAL DE VEREADORES DE ARROIO DO PADRE, no uso de suas atribuições, especificamente a prevista no artigo </w:t>
      </w:r>
      <w:bookmarkStart w:id="0" w:name="_GoBack"/>
      <w:bookmarkEnd w:id="0"/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  <w:shd w:fill="FFFFFF" w:val="clear"/>
          <w:lang w:eastAsia="zh-CN"/>
        </w:rPr>
        <w:t>art. 20, inciso III, da Lei Orgânica do Município de Arroio do Padre, promulga a presente Emenda à Lei Orgânica do Município:</w:t>
      </w:r>
    </w:p>
    <w:p>
      <w:pPr>
        <w:pStyle w:val="Normal"/>
        <w:spacing w:lineRule="auto" w:line="240"/>
        <w:jc w:val="right"/>
        <w:rPr/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EMENDA À LEI ORGÂNICA Nº 0</w:t>
      </w:r>
      <w:r>
        <w:rPr>
          <w:rFonts w:cs="Arial" w:ascii="Arial" w:hAnsi="Arial"/>
          <w:b/>
          <w:bCs/>
          <w:sz w:val="24"/>
          <w:szCs w:val="24"/>
        </w:rPr>
        <w:t>2</w:t>
      </w:r>
      <w:r>
        <w:rPr>
          <w:rFonts w:cs="Arial" w:ascii="Arial" w:hAnsi="Arial"/>
          <w:b/>
          <w:bCs/>
          <w:sz w:val="24"/>
          <w:szCs w:val="24"/>
        </w:rPr>
        <w:t>/2021</w:t>
      </w:r>
    </w:p>
    <w:p>
      <w:pPr>
        <w:pStyle w:val="Normal"/>
        <w:shd w:val="clear" w:fill="FFFFFF"/>
        <w:spacing w:lineRule="auto" w:line="240"/>
        <w:ind w:left="4309" w:right="0" w:hanging="737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Acrescenta o art. 98-A – na Lei Orgânica do Município de Arroio do Padre,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para adotar no processo legislativo orçamentário municipal as emendas impositivas previstas na Emenda Constitucional n</w:t>
      </w:r>
      <w:r>
        <w:rPr>
          <w:rFonts w:cs="Arial"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86, de 17 de março de 2015, e Emenda Constitucional nº 100, de 26 de junho de 2019.</w:t>
      </w:r>
    </w:p>
    <w:p>
      <w:pPr>
        <w:pStyle w:val="Normal"/>
        <w:shd w:val="clear" w:fill="FFFFFF"/>
        <w:spacing w:lineRule="auto" w:line="240"/>
        <w:ind w:left="4309" w:right="0" w:hanging="737"/>
        <w:jc w:val="both"/>
        <w:rPr>
          <w:rFonts w:ascii="Arial" w:hAnsi="Arial" w:eastAsia="SimSun" w:cs="Arial"/>
          <w:color w:val="000000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0"/>
          <w:sz w:val="24"/>
          <w:szCs w:val="24"/>
          <w:lang w:val="pt-BR" w:eastAsia="zh-CN" w:bidi="hi-IN"/>
        </w:rPr>
      </w:r>
    </w:p>
    <w:p>
      <w:pPr>
        <w:pStyle w:val="Normal"/>
        <w:shd w:val="clear" w:fill="FFFFFF"/>
        <w:spacing w:lineRule="auto" w:line="240"/>
        <w:ind w:right="0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Art. 1º</w:t>
      </w:r>
      <w:r>
        <w:rPr>
          <w:rFonts w:cs="Arial" w:ascii="Arial" w:hAnsi="Arial"/>
          <w:color w:val="000000"/>
          <w:sz w:val="24"/>
          <w:szCs w:val="24"/>
        </w:rPr>
        <w:t xml:space="preserve"> Fica inserido o art. 98-A, na Lei Orgânica do Município, com a seguinte redação:</w:t>
      </w:r>
    </w:p>
    <w:p>
      <w:pPr>
        <w:pStyle w:val="Normal"/>
        <w:shd w:val="clear" w:fill="FFFFFF"/>
        <w:spacing w:lineRule="auto" w:line="240"/>
        <w:ind w:left="624" w:right="0" w:hanging="0"/>
        <w:jc w:val="both"/>
        <w:rPr>
          <w:rFonts w:ascii="Arial" w:hAnsi="Arial" w:eastAsia="SimSun" w:cs="Arial"/>
          <w:color w:val="000000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0"/>
          <w:sz w:val="24"/>
          <w:szCs w:val="24"/>
          <w:lang w:val="pt-BR" w:eastAsia="zh-CN" w:bidi="hi-IN"/>
        </w:rPr>
      </w:r>
    </w:p>
    <w:p>
      <w:pPr>
        <w:pStyle w:val="Normal"/>
        <w:widowControl/>
        <w:shd w:val="clear" w:fill="FFFFFF"/>
        <w:suppressAutoHyphens w:val="true"/>
        <w:overflowPunct w:val="false"/>
        <w:bidi w:val="0"/>
        <w:spacing w:lineRule="auto" w:line="240"/>
        <w:ind w:left="1361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“</w:t>
      </w:r>
      <w:r>
        <w:rPr>
          <w:rFonts w:cs="Arial" w:ascii="Arial" w:hAnsi="Arial"/>
          <w:color w:val="000000"/>
          <w:sz w:val="24"/>
          <w:szCs w:val="24"/>
        </w:rPr>
        <w:t>Art. 98-A. É obrigatória a execução orçamentária e financeira da programação incluída por emendas do Legislativo Municipal ao Projeto de Lei Orçamentária Anual.</w:t>
      </w:r>
    </w:p>
    <w:p>
      <w:pPr>
        <w:pStyle w:val="Normal"/>
        <w:widowControl/>
        <w:shd w:val="clear" w:fill="FFFFFF"/>
        <w:suppressAutoHyphens w:val="true"/>
        <w:overflowPunct w:val="false"/>
        <w:bidi w:val="0"/>
        <w:spacing w:lineRule="auto" w:line="240"/>
        <w:ind w:left="2268" w:right="0" w:hanging="0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</w:rPr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§1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º</w:t>
      </w:r>
      <w:r>
        <w:rPr/>
        <w:t xml:space="preserve">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emendas individuais ao projeto de lei orçamentária serão aprovadas no limite de 1,2% da receita corrente líquida prevista no projeto encaminhado pelo Poder Executivo, sendo que a metade deste percentual será destinada a ações e serviços públicos de saúde.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§2º A execução do montante destinado a ações e serviços públicos de saúde previsto no §1</w:t>
      </w:r>
      <w:r>
        <w:rPr>
          <w:rFonts w:cs="Arial"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inclusive custeio, será computada para fins do cumprimento do inciso III do § 2</w:t>
      </w:r>
      <w:r>
        <w:rPr>
          <w:rFonts w:cs="Arial"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art. 198 da CF, vedada a destinação para pagamento de pessoal ou encargos sociais.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§3º É obrigatória a execução orçamentária e financeira das programações a que se refere o § 1</w:t>
      </w:r>
      <w:r>
        <w:rPr>
          <w:rFonts w:cs="Arial"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deste artigo, em montante correspondente a 1,2% da receita corrente líquida realizada no exercício anterior, conforme os critérios para a execução equitativa da programação definidos na lei complementar prevista no § 9</w:t>
      </w:r>
      <w:r>
        <w:rPr>
          <w:rFonts w:cs="Arial"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art. 165 da Constituição Federal.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§4º A garantia de execução de que trata o § 3º deste artigo aplica-se também às programações incluídas por todas as emendas de iniciativa de bancada de parlamentares, no montante de até 1% da receita corrente líquida realizada no exercício anterior.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§5º As programações orçamentárias previstas nos §§ 3º e 4º deste artigo não serão de execução obrigatória nos casos dos impedimentos de ordem técnica.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§6º Para fins de cumprimento do disposto nos §§ 3º e 4º deste artigo, os órgãos de execução deverão observar, nos termos da lei de diretrizes orçamentárias, cronograma para análise e verificação de eventuais impedimentos das programações e demais procedimentos necessários à viabilização da execução dos respectivos montantes.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§7º Os restos a pagar provenientes das programações orçamentárias previstas nos §§ 3º e 4º poderão ser considerados para fins de cumprimento da execução financeira até o limite de 0,6% da receita corrente líquida realizada no exercício anterior, para as programações das emendas individuais, e até o limite de 0,5%, para as programações das emendas de iniciativa de bancada de parlamentares.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§8º Se for verificado que a reestimativa da receita e da despesa poderá resultar no não cumprimento da meta de resultado fiscal estabelecida na lei de diretrizes orçamentárias, os montantes previstos nos §§ 3º e 4º deste artigo poderão ser reduzidos em até a mesma proporção da limitação incidente sobre o conjunto das demais despesas discricionárias.</w:t>
      </w:r>
    </w:p>
    <w:p>
      <w:pPr>
        <w:pStyle w:val="Corpodotexto"/>
        <w:widowControl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§9º Considera-se equitativa a execução das programações de caráter obrigatório que observe critérios objetivos e imparciais e que atenda de forma igualitária e impessoal às emendas apresentadas, independentemente da autoria.</w:t>
      </w:r>
    </w:p>
    <w:p>
      <w:pPr>
        <w:pStyle w:val="Corpodotexto"/>
        <w:widowControl/>
        <w:shd w:val="clear" w:fill="FFFFFF"/>
        <w:suppressAutoHyphens w:val="true"/>
        <w:bidi w:val="0"/>
        <w:spacing w:lineRule="auto" w:line="240" w:before="0" w:after="150"/>
        <w:ind w:left="1361" w:right="0" w:hanging="0"/>
        <w:jc w:val="both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§10º As programações de que trata o § 4º deste artigo, quando versarem sobre o início de investimentos com duração de mais de um exercício financeiro ou cuja execução já tenha sido iniciada, deverão ser objeto de emenda pela mesma bancada, a cada exercício, até a conclusão da obra ou do empreendimento.”</w:t>
      </w:r>
    </w:p>
    <w:p>
      <w:pPr>
        <w:pStyle w:val="Normal"/>
        <w:shd w:val="clear" w:fill="FFFFFF"/>
        <w:spacing w:lineRule="auto" w:line="240"/>
        <w:ind w:right="0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 2º</w:t>
      </w:r>
      <w:r>
        <w:rPr>
          <w:rFonts w:cs="Arial" w:ascii="Arial" w:hAnsi="Arial"/>
          <w:color w:val="000000"/>
          <w:sz w:val="24"/>
          <w:szCs w:val="24"/>
        </w:rPr>
        <w:t xml:space="preserve"> Esta Emenda à Lei Orgânica entra em vigor na data de sua publicação.</w:t>
      </w:r>
    </w:p>
    <w:p>
      <w:pPr>
        <w:pStyle w:val="Normal"/>
        <w:shd w:val="clear" w:fill="FFFFFF"/>
        <w:spacing w:lineRule="auto" w:line="240"/>
        <w:ind w:left="624" w:right="0" w:hanging="0"/>
        <w:jc w:val="both"/>
        <w:rPr>
          <w:rFonts w:ascii="Arial;sans-serif" w:hAnsi="Arial;sans-serif" w:eastAsia="SimSun" w:cs="Mangal"/>
          <w:color w:val="000000"/>
          <w:sz w:val="24"/>
          <w:szCs w:val="24"/>
          <w:lang w:val="pt-BR" w:eastAsia="zh-CN" w:bidi="hi-IN"/>
        </w:rPr>
      </w:pPr>
      <w:r>
        <w:rPr>
          <w:rFonts w:eastAsia="SimSun" w:cs="Mangal" w:ascii="Arial;sans-serif" w:hAnsi="Arial;sans-serif"/>
          <w:color w:val="000000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0"/>
          <w:sz w:val="26"/>
          <w:szCs w:val="26"/>
        </w:rPr>
        <w:t>21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de Junho de 2021.</w:t>
      </w:r>
    </w:p>
    <w:p>
      <w:pPr>
        <w:pStyle w:val="Corpodotexto"/>
        <w:spacing w:lineRule="auto" w:line="240"/>
        <w:jc w:val="both"/>
        <w:rPr>
          <w:rFonts w:ascii="Arial" w:hAnsi="Arial" w:eastAsia="SimSun" w:cs="Arial"/>
          <w:color w:val="000000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0"/>
          <w:sz w:val="24"/>
          <w:szCs w:val="24"/>
          <w:lang w:val="pt-BR" w:eastAsia="zh-CN" w:bidi="hi-IN"/>
        </w:rPr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Autógrafo</w:t>
      </w:r>
      <w:r>
        <w:rPr>
          <w:rFonts w:eastAsia="Arial" w:cs="Arial" w:ascii="Arial" w:hAnsi="Arial"/>
          <w:i/>
          <w:sz w:val="24"/>
          <w:szCs w:val="24"/>
        </w:rPr>
        <w:t xml:space="preserve">      </w:t>
      </w:r>
    </w:p>
    <w:p>
      <w:pPr>
        <w:pStyle w:val="Corpodotexto"/>
        <w:spacing w:lineRule="auto" w:line="240"/>
        <w:jc w:val="both"/>
        <w:rPr>
          <w:rFonts w:eastAsia="Arial" w:cs="Arial"/>
          <w:i/>
          <w:i/>
        </w:rPr>
      </w:pPr>
      <w:r>
        <w:rPr>
          <w:rFonts w:ascii="Arial" w:hAnsi="Arial"/>
          <w:sz w:val="24"/>
          <w:szCs w:val="24"/>
        </w:rPr>
      </w:r>
    </w:p>
    <w:p>
      <w:pPr>
        <w:pStyle w:val="Padro"/>
        <w:tabs>
          <w:tab w:val="left" w:pos="411" w:leader="none"/>
          <w:tab w:val="right" w:pos="9637" w:leader="none"/>
        </w:tabs>
        <w:spacing w:lineRule="auto" w:line="276" w:before="0" w:after="57"/>
        <w:ind w:left="-1531" w:right="-1021" w:hanging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              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_______________________________           _________________________________</w:t>
        <w:tab/>
      </w:r>
    </w:p>
    <w:p>
      <w:pPr>
        <w:pStyle w:val="Padro"/>
        <w:tabs>
          <w:tab w:val="left" w:pos="411" w:leader="none"/>
          <w:tab w:val="right" w:pos="9637" w:leader="none"/>
        </w:tabs>
        <w:spacing w:lineRule="auto" w:line="276" w:before="0" w:after="57"/>
        <w:ind w:left="-1531" w:right="-1021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/>
          <w:color w:val="00000A"/>
          <w:sz w:val="24"/>
          <w:szCs w:val="24"/>
          <w:lang w:val="pt-BR" w:eastAsia="zh-CN" w:bidi="hi-IN"/>
        </w:rPr>
        <w:t>Deoclecio Vinston Lerm</w:t>
      </w:r>
      <w:r>
        <w:rPr>
          <w:rFonts w:eastAsia="SimSun" w:cs="Arial" w:ascii="Arial" w:hAnsi="Arial"/>
          <w:b w:val="false"/>
          <w:bCs w:val="false"/>
          <w:i/>
          <w:color w:val="00000A"/>
          <w:sz w:val="24"/>
          <w:szCs w:val="24"/>
          <w:lang w:val="pt-BR" w:eastAsia="zh-CN" w:bidi="hi-IN"/>
        </w:rPr>
        <w:t xml:space="preserve"> </w:t>
        <w:tab/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                         </w:t>
      </w:r>
      <w:r>
        <w:rPr>
          <w:rFonts w:eastAsia="SimSun" w:cs="Times New Roman" w:ascii="Arial" w:hAnsi="Arial"/>
          <w:b w:val="false"/>
          <w:bCs w:val="false"/>
          <w:i/>
          <w:color w:val="00000A"/>
          <w:sz w:val="24"/>
          <w:szCs w:val="24"/>
          <w:lang w:val="pt-BR" w:eastAsia="zh-CN" w:bidi="hi-IN"/>
        </w:rPr>
        <w:t xml:space="preserve">Jodele Vahl Schlesener 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              </w:t>
      </w:r>
      <w:r>
        <w:rPr>
          <w:rFonts w:cs="Arial" w:ascii="Arial" w:hAnsi="Arial"/>
          <w:b w:val="false"/>
          <w:bCs w:val="false"/>
          <w:iCs/>
          <w:sz w:val="24"/>
          <w:szCs w:val="24"/>
        </w:rPr>
        <w:t xml:space="preserve">                                         </w:t>
      </w:r>
      <w:r>
        <w:rPr>
          <w:rFonts w:eastAsia="Arial" w:cs="Arial" w:ascii="Arial" w:hAnsi="Arial"/>
          <w:b w:val="false"/>
          <w:bCs w:val="false"/>
          <w:i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Presidente                                                    Vice-Presidente</w:t>
      </w:r>
    </w:p>
    <w:p>
      <w:pPr>
        <w:pStyle w:val="Padro"/>
        <w:tabs>
          <w:tab w:val="left" w:pos="411" w:leader="none"/>
          <w:tab w:val="right" w:pos="9637" w:leader="none"/>
        </w:tabs>
        <w:spacing w:lineRule="auto" w:line="276" w:before="0" w:after="57"/>
        <w:ind w:left="-737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   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_______________________________      ______________________________ </w:t>
      </w:r>
    </w:p>
    <w:p>
      <w:pPr>
        <w:pStyle w:val="Padro"/>
        <w:tabs>
          <w:tab w:val="left" w:pos="411" w:leader="none"/>
          <w:tab w:val="right" w:pos="9637" w:leader="none"/>
        </w:tabs>
        <w:spacing w:lineRule="auto" w:line="276" w:before="0" w:after="57"/>
        <w:ind w:left="-851" w:right="-1077" w:hanging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Cs/>
          <w:sz w:val="24"/>
          <w:szCs w:val="24"/>
        </w:rPr>
        <w:t xml:space="preserve">                   </w:t>
      </w:r>
      <w:r>
        <w:rPr>
          <w:rFonts w:eastAsia="SimSun" w:cs="Arial" w:ascii="Arial" w:hAnsi="Arial"/>
          <w:b w:val="false"/>
          <w:bCs w:val="false"/>
          <w:i/>
          <w:iCs/>
          <w:color w:val="00000A"/>
          <w:sz w:val="24"/>
          <w:szCs w:val="24"/>
          <w:lang w:val="pt-BR" w:eastAsia="zh-CN" w:bidi="hi-IN"/>
        </w:rPr>
        <w:t xml:space="preserve">  </w:t>
      </w:r>
      <w:r>
        <w:rPr>
          <w:rFonts w:eastAsia="SimSun" w:cs="Times New Roman" w:ascii="Arial" w:hAnsi="Arial"/>
          <w:b w:val="false"/>
          <w:bCs w:val="false"/>
          <w:i/>
          <w:iCs/>
          <w:color w:val="00000A"/>
          <w:sz w:val="24"/>
          <w:szCs w:val="24"/>
          <w:lang w:val="pt-BR" w:eastAsia="zh-CN" w:bidi="hi-IN"/>
        </w:rPr>
        <w:t>Martina Harter Scherdien</w:t>
      </w:r>
      <w:r>
        <w:rPr>
          <w:rFonts w:eastAsia="SimSun" w:cs="Arial" w:ascii="Arial" w:hAnsi="Arial"/>
          <w:b w:val="false"/>
          <w:bCs w:val="false"/>
          <w:i/>
          <w:iCs/>
          <w:color w:val="00000A"/>
          <w:sz w:val="24"/>
          <w:szCs w:val="24"/>
          <w:lang w:val="pt-BR" w:eastAsia="zh-CN" w:bidi="hi-IN"/>
        </w:rPr>
        <w:t xml:space="preserve">   </w:t>
      </w:r>
      <w:r>
        <w:rPr>
          <w:rFonts w:eastAsia="Times New Roman" w:cs="Times New Roman" w:ascii="Arial" w:hAnsi="Arial"/>
          <w:b w:val="false"/>
          <w:bCs w:val="false"/>
          <w:i/>
          <w:iCs/>
          <w:color w:val="00000A"/>
          <w:sz w:val="24"/>
          <w:szCs w:val="24"/>
          <w:lang w:val="pt-BR" w:eastAsia="zh-CN" w:bidi="hi-IN"/>
        </w:rPr>
        <w:t xml:space="preserve">            </w:t>
      </w:r>
      <w:r>
        <w:rPr>
          <w:rFonts w:cs="Arial" w:ascii="Arial" w:hAnsi="Arial"/>
          <w:b w:val="false"/>
          <w:bCs w:val="false"/>
          <w:iCs/>
          <w:sz w:val="24"/>
          <w:szCs w:val="24"/>
        </w:rPr>
        <w:t xml:space="preserve">                     </w:t>
      </w:r>
      <w:r>
        <w:rPr>
          <w:rFonts w:eastAsia="SimSun" w:cs="Times New Roman" w:ascii="Arial" w:hAnsi="Arial"/>
          <w:b w:val="false"/>
          <w:bCs w:val="false"/>
          <w:i/>
          <w:iCs/>
          <w:color w:val="00000A"/>
          <w:sz w:val="24"/>
          <w:szCs w:val="24"/>
          <w:lang w:val="pt-BR" w:eastAsia="zh-CN" w:bidi="hi-IN"/>
        </w:rPr>
        <w:t>Adriano Hellwig</w:t>
      </w:r>
      <w:r>
        <w:rPr>
          <w:rFonts w:cs="Arial" w:ascii="Arial" w:hAnsi="Arial"/>
          <w:b w:val="false"/>
          <w:bCs w:val="false"/>
          <w:iCs/>
          <w:sz w:val="24"/>
          <w:szCs w:val="24"/>
        </w:rPr>
        <w:t xml:space="preserve">            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                          </w:t>
      </w:r>
    </w:p>
    <w:p>
      <w:pPr>
        <w:pStyle w:val="Normal"/>
        <w:spacing w:lineRule="auto" w:line="276" w:before="0" w:after="5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             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1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  <w:vertAlign w:val="superscript"/>
        </w:rPr>
        <w:t>ª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Secretári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a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                                                     2ª Secretário</w:t>
      </w:r>
    </w:p>
    <w:sectPr>
      <w:headerReference w:type="default" r:id="rId2"/>
      <w:footerReference w:type="default" r:id="rId3"/>
      <w:type w:val="nextPage"/>
      <w:pgSz w:w="11906" w:h="16838"/>
      <w:pgMar w:left="1335" w:right="1316" w:header="708" w:top="3258" w:footer="720" w:bottom="851" w:gutter="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Univers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Arial">
    <w:charset w:val="01"/>
    <w:family w:val="swiss"/>
    <w:pitch w:val="variable"/>
  </w:font>
  <w:font w:name="Lucida Calligraphy">
    <w:charset w:val="00"/>
    <w:family w:val="roman"/>
    <w:pitch w:val="variable"/>
  </w:font>
  <w:font w:name="Monotype Corsiv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zh-CN"/>
      </w:rPr>
    </w:pPr>
    <w:r>
      <w:rPr>
        <w:rFonts w:cs="Lucida Calligraphy" w:ascii="Lucida Calligraphy" w:hAnsi="Lucida Calligraphy"/>
        <w:sz w:val="26"/>
        <w:szCs w:val="26"/>
        <w:lang w:eastAsia="zh-CN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2282825</wp:posOffset>
          </wp:positionH>
          <wp:positionV relativeFrom="paragraph">
            <wp:posOffset>-159385</wp:posOffset>
          </wp:positionV>
          <wp:extent cx="913130" cy="970280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zh-CN"/>
      </w:rPr>
    </w:pPr>
    <w:r>
      <w:rPr>
        <w:rFonts w:cs="Lucida Calligraphy" w:ascii="Lucida Calligraphy" w:hAnsi="Lucida Calligraphy"/>
        <w:sz w:val="26"/>
        <w:szCs w:val="26"/>
        <w:lang w:eastAsia="zh-CN"/>
      </w:rPr>
    </w:r>
  </w:p>
  <w:p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zh-CN"/>
      </w:rPr>
    </w:pPr>
    <w:r>
      <w:rPr>
        <w:rFonts w:cs="Lucida Calligraphy" w:ascii="Lucida Calligraphy" w:hAnsi="Lucida Calligraphy"/>
        <w:sz w:val="26"/>
        <w:szCs w:val="26"/>
        <w:lang w:eastAsia="zh-CN"/>
      </w:rPr>
    </w:r>
  </w:p>
  <w:p>
    <w:pPr>
      <w:pStyle w:val="Cabealho"/>
      <w:jc w:val="center"/>
      <w:rPr>
        <w:rFonts w:ascii="Monotype Corsiva" w:hAnsi="Monotype Corsiva" w:cs="Monotype Corsiva"/>
        <w:sz w:val="26"/>
        <w:szCs w:val="26"/>
        <w:lang w:eastAsia="zh-CN"/>
      </w:rPr>
    </w:pPr>
    <w:r>
      <w:rPr>
        <w:rFonts w:cs="Monotype Corsiva" w:ascii="Monotype Corsiva" w:hAnsi="Monotype Corsiva"/>
        <w:sz w:val="26"/>
        <w:szCs w:val="26"/>
        <w:lang w:eastAsia="zh-CN"/>
      </w:rPr>
    </w:r>
  </w:p>
  <w:p>
    <w:pPr>
      <w:pStyle w:val="Cabealho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CÂMARA MUNICIPAL DE VEREADORES DE ARROIO DO PADRE</w:t>
    </w:r>
  </w:p>
  <w:p>
    <w:pPr>
      <w:pStyle w:val="Cabealho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Cabealho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Plenário Arno Bottermund</w:t>
    </w:r>
  </w:p>
  <w:p>
    <w:pPr>
      <w:pStyle w:val="Cabealho"/>
      <w:jc w:val="center"/>
      <w:rPr/>
    </w:pPr>
    <w:r>
      <w:rPr>
        <w:rFonts w:cs="Arial" w:ascii="Arial" w:hAnsi="Arial"/>
        <w:b/>
      </w:rPr>
      <w:t>Gabinete da Presidência</w:t>
    </w:r>
  </w:p>
  <w:p>
    <w:pPr>
      <w:pStyle w:val="Cabealho"/>
      <w:jc w:val="center"/>
      <w:rPr>
        <w:sz w:val="24"/>
        <w:szCs w:val="24"/>
        <w:lang w:eastAsia="zh-CN"/>
      </w:rPr>
    </w:pPr>
    <w:r>
      <w:rPr>
        <w:sz w:val="24"/>
        <w:szCs w:val="24"/>
        <w:lang w:eastAsia="zh-CN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Fontepargpadro2" w:customStyle="1">
    <w:name w:val="Fonte parág. padrão2"/>
    <w:qFormat/>
    <w:rPr/>
  </w:style>
  <w:style w:type="character" w:styleId="TextodebaloChar" w:customStyle="1">
    <w:name w:val="Texto de balão Char"/>
    <w:basedOn w:val="Fontepargpadro2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Fontepargpadro2"/>
    <w:qFormat/>
    <w:rPr/>
  </w:style>
  <w:style w:type="character" w:styleId="RodapChar" w:customStyle="1">
    <w:name w:val="Rodapé Char"/>
    <w:basedOn w:val="Fontepargpadro2"/>
    <w:qFormat/>
    <w:rPr/>
  </w:style>
  <w:style w:type="character" w:styleId="CorpodetextoChar" w:customStyle="1">
    <w:name w:val="Corpo de texto Char"/>
    <w:basedOn w:val="Fontepargpadro2"/>
    <w:qFormat/>
    <w:rPr>
      <w:rFonts w:ascii="Times New Roman" w:hAnsi="Times New Roman" w:eastAsia="Times New Roman" w:cs="Times New Roman"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orpodotexto">
    <w:name w:val="Corpo do texto"/>
    <w:basedOn w:val="Normal"/>
    <w:qFormat/>
    <w:pPr>
      <w:spacing w:lineRule="auto" w:line="288"/>
      <w:jc w:val="right"/>
    </w:pPr>
    <w:rPr>
      <w:sz w:val="20"/>
      <w:szCs w:val="20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odebalo1" w:customStyle="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252" w:leader="none"/>
        <w:tab w:val="right" w:pos="8504" w:leader="none"/>
      </w:tabs>
    </w:pPr>
    <w:rPr/>
  </w:style>
  <w:style w:type="paragraph" w:styleId="Corpodetextorecuado">
    <w:name w:val="Body Text Indent"/>
    <w:basedOn w:val="Normal"/>
    <w:pPr>
      <w:ind w:left="3540" w:hanging="0"/>
      <w:jc w:val="both"/>
    </w:pPr>
    <w:rPr>
      <w:rFonts w:ascii="Univers" w:hAnsi="Univers" w:cs="Univers"/>
      <w:i/>
      <w:sz w:val="18"/>
      <w:szCs w:val="20"/>
    </w:rPr>
  </w:style>
  <w:style w:type="paragraph" w:styleId="Padro" w:customStyle="1">
    <w:name w:val="Padrão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Application>LibreOffice/6.0.3.2$Windows_X86_64 LibreOffice_project/8f48d515416608e3a835360314dac7e47fd0b821</Application>
  <Pages>2</Pages>
  <Words>664</Words>
  <Characters>3629</Characters>
  <CharactersWithSpaces>4612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2020-12-31T13:55:00Z</dcterms:created>
  <dc:creator>Camara</dc:creator>
  <dc:description/>
  <dc:language>pt-BR</dc:language>
  <cp:lastModifiedBy/>
  <cp:lastPrinted>2021-06-21T19:36:27Z</cp:lastPrinted>
  <dcterms:modified xsi:type="dcterms:W3CDTF">2021-06-21T19:36:16Z</dcterms:modified>
  <cp:revision>13</cp:revision>
  <dc:subject/>
  <dc:title/>
</cp:coreProperties>
</file>