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4FE18F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A077A6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386777" w14:textId="77777777" w:rsidR="00667F5E" w:rsidRDefault="00667F5E" w:rsidP="00667F5E">
      <w:pPr>
        <w:suppressAutoHyphens/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5B2D2DE" w14:textId="0180AB4D" w:rsidR="00667F5E" w:rsidRPr="00667F5E" w:rsidRDefault="00667F5E" w:rsidP="00667F5E">
      <w:pPr>
        <w:suppressAutoHyphens/>
        <w:spacing w:after="120" w:line="240" w:lineRule="auto"/>
        <w:ind w:firstLine="708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Quero cumprimentá-los quando no uso deste lhes encaminho mais um projeto de lei.</w:t>
      </w:r>
    </w:p>
    <w:p w14:paraId="28506292" w14:textId="46C1C0A4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 xml:space="preserve">Quero informar-lhes que o projeto de lei </w:t>
      </w:r>
      <w:r w:rsidR="00A077A6">
        <w:rPr>
          <w:rFonts w:ascii="Arial" w:eastAsia="Arial" w:hAnsi="Arial" w:cs="Arial"/>
          <w:color w:val="00000A"/>
        </w:rPr>
        <w:t>06</w:t>
      </w:r>
      <w:r w:rsidRPr="00667F5E">
        <w:rPr>
          <w:rFonts w:ascii="Arial" w:eastAsia="Arial" w:hAnsi="Arial" w:cs="Arial"/>
          <w:color w:val="00000A"/>
        </w:rPr>
        <w:t>/2023 vem a esta Casa Legislativa com o objetivo de buscar autorização legislativa para o município contratar em caráter emergencial e temporário de um (01) professor na área de Educação Física.</w:t>
      </w:r>
    </w:p>
    <w:p w14:paraId="2EE23F4D" w14:textId="4A44E44B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Esta contratação tem por objetivo de atender uma situação temporária por que não se sabe o número de alunos na Escola</w:t>
      </w:r>
      <w:r w:rsidR="00C5370E">
        <w:rPr>
          <w:rFonts w:ascii="Arial" w:eastAsia="Arial" w:hAnsi="Arial" w:cs="Arial"/>
          <w:color w:val="00000A"/>
        </w:rPr>
        <w:t xml:space="preserve"> Visconde de Ouro Preto</w:t>
      </w:r>
      <w:r w:rsidRPr="00667F5E">
        <w:rPr>
          <w:rFonts w:ascii="Arial" w:eastAsia="Arial" w:hAnsi="Arial" w:cs="Arial"/>
          <w:color w:val="00000A"/>
        </w:rPr>
        <w:t xml:space="preserve"> vai permanecer, assim como está, diminuir ou aumentar, por isso a forma de prover o professor.</w:t>
      </w:r>
    </w:p>
    <w:p w14:paraId="38A332A8" w14:textId="5B527B7A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Existem disposições superiores (</w:t>
      </w:r>
      <w:r w:rsidR="009E36CF">
        <w:rPr>
          <w:rFonts w:ascii="Arial" w:eastAsia="Arial" w:hAnsi="Arial" w:cs="Arial"/>
          <w:color w:val="00000A"/>
        </w:rPr>
        <w:t>L</w:t>
      </w:r>
      <w:r w:rsidRPr="00667F5E">
        <w:rPr>
          <w:rFonts w:ascii="Arial" w:eastAsia="Arial" w:hAnsi="Arial" w:cs="Arial"/>
          <w:color w:val="00000A"/>
        </w:rPr>
        <w:t xml:space="preserve">ei </w:t>
      </w:r>
      <w:r w:rsidR="00FB2573">
        <w:rPr>
          <w:rFonts w:ascii="Arial" w:eastAsia="Arial" w:hAnsi="Arial" w:cs="Arial"/>
          <w:color w:val="00000A"/>
        </w:rPr>
        <w:t>F</w:t>
      </w:r>
      <w:r w:rsidRPr="00667F5E">
        <w:rPr>
          <w:rFonts w:ascii="Arial" w:eastAsia="Arial" w:hAnsi="Arial" w:cs="Arial"/>
          <w:color w:val="00000A"/>
        </w:rPr>
        <w:t xml:space="preserve">ederal) que estabelecem que um professor precisa ter para hora atividade um terço de sua carga horária. Isto em nosso município, até então não vem sendo atendido integralmente e para atender esta legislação certamente surgem momentos em que não haverá professores disponíveis em sala de aula. </w:t>
      </w:r>
    </w:p>
    <w:p w14:paraId="67DB2E05" w14:textId="39EBC91A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Porque atualmente grande parte dos professores tem 20% (vinte por cento) de hora atividade e não 33% (trinta e três por cento) como a se exige. E o município faz o que? Precisa suprir as vagas de professor para não haver prejuízo ao ensino dos alunos.</w:t>
      </w:r>
    </w:p>
    <w:p w14:paraId="5E817199" w14:textId="258EBCB8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E neste momento no cenário que se apresenta a contratação por tempo determinado para esta situação a cargo nos parece mais adequada.</w:t>
      </w:r>
    </w:p>
    <w:p w14:paraId="26EFD71F" w14:textId="6FEAA340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Pelo que foi exposto, espero poder contar com o vosso apoio na aprovação da proposta. Peço ainda a mais esta proposta tramitação em regime de urgência.</w:t>
      </w:r>
    </w:p>
    <w:p w14:paraId="1270F5BD" w14:textId="349F5C84" w:rsidR="00667F5E" w:rsidRPr="00667F5E" w:rsidRDefault="00667F5E" w:rsidP="00667F5E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67F5E">
        <w:rPr>
          <w:rFonts w:ascii="Arial" w:eastAsia="Arial" w:hAnsi="Arial" w:cs="Arial"/>
          <w:color w:val="00000A"/>
        </w:rPr>
        <w:t>Nada mais a acrescentar no momento.</w:t>
      </w:r>
    </w:p>
    <w:p w14:paraId="7BE4112C" w14:textId="1033301F" w:rsidR="00CC32F4" w:rsidRPr="00667F5E" w:rsidRDefault="001A1625" w:rsidP="00667F5E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667F5E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6F1543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60AD0A32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1DF927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CF065D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3A9C5E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332385">
        <w:rPr>
          <w:rFonts w:ascii="Arial" w:hAnsi="Arial" w:cs="Arial"/>
          <w:color w:val="auto"/>
        </w:rPr>
        <w:t>Educação Física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64212F1F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288D0BE" w14:textId="77777777" w:rsidR="00FB04FB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</w:p>
    <w:p w14:paraId="19F36E7C" w14:textId="77777777" w:rsidR="00FB04FB" w:rsidRDefault="00FB04FB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320D040" w14:textId="2AE25B39" w:rsidR="006F1543" w:rsidRDefault="006F1543" w:rsidP="00FB04F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1CE1E746" w14:textId="77777777" w:rsidR="006F1543" w:rsidRDefault="006F1543" w:rsidP="00FB04F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16296E8C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D80086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BCB8" w14:textId="77777777" w:rsidR="00413135" w:rsidRDefault="00413135">
      <w:pPr>
        <w:spacing w:after="0" w:line="240" w:lineRule="auto"/>
      </w:pPr>
      <w:r>
        <w:separator/>
      </w:r>
    </w:p>
  </w:endnote>
  <w:endnote w:type="continuationSeparator" w:id="0">
    <w:p w14:paraId="21954BEA" w14:textId="77777777" w:rsidR="00413135" w:rsidRDefault="0041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85CC" w14:textId="77777777" w:rsidR="00413135" w:rsidRDefault="00413135">
      <w:pPr>
        <w:spacing w:after="0" w:line="240" w:lineRule="auto"/>
      </w:pPr>
      <w:r>
        <w:separator/>
      </w:r>
    </w:p>
  </w:footnote>
  <w:footnote w:type="continuationSeparator" w:id="0">
    <w:p w14:paraId="27BE5DBD" w14:textId="77777777" w:rsidR="00413135" w:rsidRDefault="0041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313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7B4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1029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37</cp:revision>
  <cp:lastPrinted>2021-03-01T16:48:00Z</cp:lastPrinted>
  <dcterms:created xsi:type="dcterms:W3CDTF">2023-01-11T15:41:00Z</dcterms:created>
  <dcterms:modified xsi:type="dcterms:W3CDTF">2023-01-13T10:35:00Z</dcterms:modified>
</cp:coreProperties>
</file>