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8890</wp:posOffset>
            </wp:positionV>
            <wp:extent cx="960755" cy="9334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55A8F" w:rsidRPr="00CF1945" w:rsidRDefault="00D55A8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07329">
        <w:rPr>
          <w:rFonts w:ascii="Arial" w:hAnsi="Arial" w:cs="Arial"/>
          <w:b/>
          <w:bCs/>
          <w:color w:val="auto"/>
          <w:u w:val="single"/>
        </w:rPr>
        <w:t>4</w:t>
      </w:r>
      <w:r w:rsidR="002D2EC3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55A8F" w:rsidRPr="00C077B6" w:rsidRDefault="00D55A8F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246372" w:rsidRDefault="004A25D4" w:rsidP="0024637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46372" w:rsidRPr="00246372" w:rsidRDefault="00246372" w:rsidP="00D55A8F">
      <w:pPr>
        <w:spacing w:after="240"/>
        <w:ind w:firstLine="708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>Ao encaminhar para apreciação desta Casa Legislativa o projeto de lei 45/2019 os cumprimentos e informa o que segue.</w:t>
      </w:r>
    </w:p>
    <w:p w:rsidR="00246372" w:rsidRP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>O projeto de lei 45/2019 é encaminhado para apreciação dos Senhores com o objetivo de propor a abertura de Crédito Adicional Suplementar no Orçamento Municipal do exercício 2019, em dotações orçamentarias vinculadas ao Gabinete do Prefeito, Secretaria da Administração, Planejamento, Finanças, Gestão e Tributos e Secretaria de Obras, Infraestrutura e Saneamento.</w:t>
      </w:r>
    </w:p>
    <w:p w:rsidR="00246372" w:rsidRP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>No Gabinete do Prefeito é suplementada dotação orçamentária de serviços, pois pretende-se consolidar as leis municipais. Neste serviço deverá ser realizado todo o levantamento da legislação municipal como ser firmado contrato para a manutenção do processo, quando ou depois de organizado as leis. O município de Arroio do Padre é um dos poucos que ainda não possui suas leis consolidadas.</w:t>
      </w:r>
      <w:r w:rsidR="003539D3">
        <w:rPr>
          <w:rFonts w:ascii="Arial" w:hAnsi="Arial" w:cs="Arial"/>
        </w:rPr>
        <w:t xml:space="preserve"> Ainda na dotação de equipamentos deverão ser acrescidos recursos para a aquisição e instalação de câmeras em locais estratégicos do Município.</w:t>
      </w:r>
    </w:p>
    <w:p w:rsidR="00246372" w:rsidRP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 xml:space="preserve">Na Secretaria da Administração, Planejamento, Finanças, </w:t>
      </w:r>
      <w:r w:rsidR="003539D3">
        <w:rPr>
          <w:rFonts w:ascii="Arial" w:hAnsi="Arial" w:cs="Arial"/>
        </w:rPr>
        <w:t>Gestão e Tributos, na conta de O</w:t>
      </w:r>
      <w:r w:rsidRPr="00246372">
        <w:rPr>
          <w:rFonts w:ascii="Arial" w:hAnsi="Arial" w:cs="Arial"/>
        </w:rPr>
        <w:t xml:space="preserve">utros </w:t>
      </w:r>
      <w:r w:rsidR="003539D3">
        <w:rPr>
          <w:rFonts w:ascii="Arial" w:hAnsi="Arial" w:cs="Arial"/>
        </w:rPr>
        <w:t>S</w:t>
      </w:r>
      <w:r w:rsidRPr="00246372">
        <w:rPr>
          <w:rFonts w:ascii="Arial" w:hAnsi="Arial" w:cs="Arial"/>
        </w:rPr>
        <w:t xml:space="preserve">erviços de </w:t>
      </w:r>
      <w:r w:rsidR="003539D3">
        <w:rPr>
          <w:rFonts w:ascii="Arial" w:hAnsi="Arial" w:cs="Arial"/>
        </w:rPr>
        <w:t>Terceiros Pessoa J</w:t>
      </w:r>
      <w:r w:rsidRPr="00246372">
        <w:rPr>
          <w:rFonts w:ascii="Arial" w:hAnsi="Arial" w:cs="Arial"/>
        </w:rPr>
        <w:t>urídica deverão ser adicionados recursos para contra</w:t>
      </w:r>
      <w:r w:rsidR="003539D3">
        <w:rPr>
          <w:rFonts w:ascii="Arial" w:hAnsi="Arial" w:cs="Arial"/>
        </w:rPr>
        <w:t>tar empresa para realização de concurso</w:t>
      </w:r>
      <w:r w:rsidRPr="00246372">
        <w:rPr>
          <w:rFonts w:ascii="Arial" w:hAnsi="Arial" w:cs="Arial"/>
        </w:rPr>
        <w:t xml:space="preserve"> público, demarcação e licenciamentos ambientais e documentos de propriedade para o Município de novas vias municipais no cent</w:t>
      </w:r>
      <w:r w:rsidR="00982C77">
        <w:rPr>
          <w:rFonts w:ascii="Arial" w:hAnsi="Arial" w:cs="Arial"/>
        </w:rPr>
        <w:t>ro do município, demarcação de r</w:t>
      </w:r>
      <w:r w:rsidRPr="00246372">
        <w:rPr>
          <w:rFonts w:ascii="Arial" w:hAnsi="Arial" w:cs="Arial"/>
        </w:rPr>
        <w:t>uas transversais</w:t>
      </w:r>
      <w:r w:rsidR="00982C77">
        <w:rPr>
          <w:rFonts w:ascii="Arial" w:hAnsi="Arial" w:cs="Arial"/>
        </w:rPr>
        <w:t xml:space="preserve"> ou ruas projetadas</w:t>
      </w:r>
      <w:r w:rsidRPr="00246372">
        <w:rPr>
          <w:rFonts w:ascii="Arial" w:hAnsi="Arial" w:cs="Arial"/>
        </w:rPr>
        <w:t xml:space="preserve"> ao longo da</w:t>
      </w:r>
      <w:r w:rsidR="00982C77">
        <w:rPr>
          <w:rFonts w:ascii="Arial" w:hAnsi="Arial" w:cs="Arial"/>
        </w:rPr>
        <w:t>s</w:t>
      </w:r>
      <w:r w:rsidRPr="00246372">
        <w:rPr>
          <w:rFonts w:ascii="Arial" w:hAnsi="Arial" w:cs="Arial"/>
        </w:rPr>
        <w:t xml:space="preserve"> principa</w:t>
      </w:r>
      <w:r w:rsidR="00982C77">
        <w:rPr>
          <w:rFonts w:ascii="Arial" w:hAnsi="Arial" w:cs="Arial"/>
        </w:rPr>
        <w:t>is</w:t>
      </w:r>
      <w:r w:rsidRPr="00246372">
        <w:rPr>
          <w:rFonts w:ascii="Arial" w:hAnsi="Arial" w:cs="Arial"/>
        </w:rPr>
        <w:t xml:space="preserve"> </w:t>
      </w:r>
      <w:r w:rsidR="0043018E" w:rsidRPr="00246372">
        <w:rPr>
          <w:rFonts w:ascii="Arial" w:hAnsi="Arial" w:cs="Arial"/>
        </w:rPr>
        <w:t>existente</w:t>
      </w:r>
      <w:r w:rsidR="00982C77">
        <w:rPr>
          <w:rFonts w:ascii="Arial" w:hAnsi="Arial" w:cs="Arial"/>
        </w:rPr>
        <w:t>s</w:t>
      </w:r>
      <w:r w:rsidRPr="00246372">
        <w:rPr>
          <w:rFonts w:ascii="Arial" w:hAnsi="Arial" w:cs="Arial"/>
        </w:rPr>
        <w:t xml:space="preserve">, conforme já previsto na legislação municipal. Na conta de equipamentos </w:t>
      </w:r>
      <w:r w:rsidR="00803DF2">
        <w:rPr>
          <w:rFonts w:ascii="Arial" w:hAnsi="Arial" w:cs="Arial"/>
        </w:rPr>
        <w:t>os recursos a serem acrescidos s</w:t>
      </w:r>
      <w:r w:rsidRPr="00246372">
        <w:rPr>
          <w:rFonts w:ascii="Arial" w:hAnsi="Arial" w:cs="Arial"/>
        </w:rPr>
        <w:t>e</w:t>
      </w:r>
      <w:r w:rsidR="00803DF2">
        <w:rPr>
          <w:rFonts w:ascii="Arial" w:hAnsi="Arial" w:cs="Arial"/>
        </w:rPr>
        <w:t>rvirão</w:t>
      </w:r>
      <w:r w:rsidRPr="00246372">
        <w:rPr>
          <w:rFonts w:ascii="Arial" w:hAnsi="Arial" w:cs="Arial"/>
        </w:rPr>
        <w:t xml:space="preserve"> para adquirir equipamentos de informática, moveis de escritório e ainda para aquisição e colocação de prateleiras, para uso no almoxarifado e arquivo inativo.</w:t>
      </w:r>
    </w:p>
    <w:p w:rsidR="00246372" w:rsidRP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>Na Secretaria de Obras deverão ser suplementadas dotações orçamentárias com vistas a manu</w:t>
      </w:r>
      <w:r w:rsidR="00A665DC">
        <w:rPr>
          <w:rFonts w:ascii="Arial" w:hAnsi="Arial" w:cs="Arial"/>
        </w:rPr>
        <w:t>tenção de da iluminação pública.</w:t>
      </w:r>
    </w:p>
    <w:p w:rsidR="00246372" w:rsidRP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 xml:space="preserve">São serviços e aquisições que o Município necessita para cumprir com suas obrigações para o bom atendimento </w:t>
      </w:r>
      <w:r w:rsidR="00A665DC" w:rsidRPr="00246372">
        <w:rPr>
          <w:rFonts w:ascii="Arial" w:hAnsi="Arial" w:cs="Arial"/>
        </w:rPr>
        <w:t>à</w:t>
      </w:r>
      <w:r w:rsidRPr="00246372">
        <w:rPr>
          <w:rFonts w:ascii="Arial" w:hAnsi="Arial" w:cs="Arial"/>
        </w:rPr>
        <w:t xml:space="preserve"> população e as suas próprias funções administrativas.</w:t>
      </w:r>
    </w:p>
    <w:p w:rsidR="00246372" w:rsidRDefault="00246372" w:rsidP="00D55A8F">
      <w:pPr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>Dito isto, informa-se ainda que o presente Crédito Adicional será coberto com recursos provenientes do superávit financeiro do exercício de 2018.</w:t>
      </w:r>
    </w:p>
    <w:p w:rsidR="00D16D64" w:rsidRPr="00246372" w:rsidRDefault="00D16D64" w:rsidP="00D55A8F">
      <w:pPr>
        <w:spacing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algumas ações as se se </w:t>
      </w:r>
      <w:r w:rsidR="00EB51B6">
        <w:rPr>
          <w:rFonts w:ascii="Arial" w:hAnsi="Arial" w:cs="Arial"/>
        </w:rPr>
        <w:t>destinam</w:t>
      </w:r>
      <w:r>
        <w:rPr>
          <w:rFonts w:ascii="Arial" w:hAnsi="Arial" w:cs="Arial"/>
        </w:rPr>
        <w:t xml:space="preserve"> os recursos aqui alocados </w:t>
      </w:r>
      <w:r w:rsidR="00EB51B6">
        <w:rPr>
          <w:rFonts w:ascii="Arial" w:hAnsi="Arial" w:cs="Arial"/>
        </w:rPr>
        <w:t>necessariamente</w:t>
      </w:r>
      <w:r>
        <w:rPr>
          <w:rFonts w:ascii="Arial" w:hAnsi="Arial" w:cs="Arial"/>
        </w:rPr>
        <w:t xml:space="preserve"> serem implementadas ainda em 2019, pois poderão se assim não for, serem </w:t>
      </w:r>
      <w:r>
        <w:rPr>
          <w:rFonts w:ascii="Arial" w:hAnsi="Arial" w:cs="Arial"/>
        </w:rPr>
        <w:lastRenderedPageBreak/>
        <w:t xml:space="preserve">caracterizados como infração eleitoral devido ao momento que se passa, pedimos ao projeto de lei, tramitação em regime de urgência, </w:t>
      </w:r>
      <w:r>
        <w:rPr>
          <w:rFonts w:ascii="Arial" w:hAnsi="Arial" w:cs="Arial"/>
          <w:shd w:val="clear" w:color="auto" w:fill="FFFFFF"/>
        </w:rPr>
        <w:t>conforme autorizado e determinado pelo Art. 35 e seus parágrafos, da Lei Orgânica do Municípi</w:t>
      </w:r>
      <w:r>
        <w:rPr>
          <w:rFonts w:ascii="Arial" w:hAnsi="Arial" w:cs="Arial"/>
          <w:shd w:val="clear" w:color="auto" w:fill="FFFFFF"/>
        </w:rPr>
        <w:t xml:space="preserve">o </w:t>
      </w:r>
      <w:r>
        <w:rPr>
          <w:rFonts w:ascii="Arial" w:hAnsi="Arial" w:cs="Arial"/>
          <w:shd w:val="clear" w:color="auto" w:fill="FFFFFF"/>
        </w:rPr>
        <w:t>e nos termos previstos no Regimento Interno da Câmara de Vereadores local, Art. 159</w:t>
      </w:r>
    </w:p>
    <w:p w:rsidR="00C077B6" w:rsidRPr="00246372" w:rsidRDefault="00246372" w:rsidP="00D55A8F">
      <w:pPr>
        <w:tabs>
          <w:tab w:val="left" w:pos="709"/>
          <w:tab w:val="left" w:pos="3180"/>
        </w:tabs>
        <w:spacing w:after="240"/>
        <w:jc w:val="both"/>
        <w:rPr>
          <w:rFonts w:ascii="Arial" w:hAnsi="Arial" w:cs="Arial"/>
        </w:rPr>
      </w:pPr>
      <w:r w:rsidRPr="00246372">
        <w:rPr>
          <w:rFonts w:ascii="Arial" w:hAnsi="Arial" w:cs="Arial"/>
        </w:rPr>
        <w:tab/>
        <w:t>Sendo o que havia para este momento.</w:t>
      </w:r>
    </w:p>
    <w:p w:rsidR="00CB73A5" w:rsidRDefault="00007329" w:rsidP="00CB73A5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46372">
        <w:rPr>
          <w:rFonts w:ascii="Arial" w:hAnsi="Arial" w:cs="Arial"/>
          <w:shd w:val="clear" w:color="auto" w:fill="FFFFFF"/>
        </w:rPr>
        <w:tab/>
      </w:r>
      <w:r w:rsidR="00FA2338" w:rsidRPr="00246372">
        <w:rPr>
          <w:rFonts w:ascii="Arial" w:hAnsi="Arial" w:cs="Arial"/>
          <w:shd w:val="clear" w:color="auto" w:fill="FFFFFF"/>
        </w:rPr>
        <w:t>Atenciosamente.</w:t>
      </w:r>
    </w:p>
    <w:p w:rsidR="0066045C" w:rsidRPr="00246372" w:rsidRDefault="001F29F2" w:rsidP="00CB73A5">
      <w:pPr>
        <w:tabs>
          <w:tab w:val="left" w:pos="709"/>
          <w:tab w:val="left" w:pos="3180"/>
        </w:tabs>
        <w:spacing w:after="120" w:line="240" w:lineRule="auto"/>
        <w:jc w:val="right"/>
        <w:rPr>
          <w:rFonts w:ascii="Arial" w:hAnsi="Arial" w:cs="Arial"/>
          <w:bCs/>
        </w:rPr>
      </w:pPr>
      <w:r w:rsidRPr="00246372">
        <w:rPr>
          <w:rFonts w:ascii="Arial" w:hAnsi="Arial" w:cs="Arial"/>
          <w:bCs/>
        </w:rPr>
        <w:t>A</w:t>
      </w:r>
      <w:r w:rsidR="00214D53" w:rsidRPr="00246372">
        <w:rPr>
          <w:rFonts w:ascii="Arial" w:hAnsi="Arial" w:cs="Arial"/>
          <w:bCs/>
        </w:rPr>
        <w:t xml:space="preserve">rroio do Padre, </w:t>
      </w:r>
      <w:r w:rsidR="00E51828" w:rsidRPr="00246372">
        <w:rPr>
          <w:rFonts w:ascii="Arial" w:hAnsi="Arial" w:cs="Arial"/>
          <w:bCs/>
        </w:rPr>
        <w:t>30</w:t>
      </w:r>
      <w:r w:rsidR="003E2D0C" w:rsidRPr="00246372">
        <w:rPr>
          <w:rFonts w:ascii="Arial" w:hAnsi="Arial" w:cs="Arial"/>
          <w:bCs/>
        </w:rPr>
        <w:t xml:space="preserve"> </w:t>
      </w:r>
      <w:r w:rsidR="00DF51E8" w:rsidRPr="00246372">
        <w:rPr>
          <w:rFonts w:ascii="Arial" w:hAnsi="Arial" w:cs="Arial"/>
          <w:bCs/>
        </w:rPr>
        <w:t xml:space="preserve">de </w:t>
      </w:r>
      <w:r w:rsidR="005436D3" w:rsidRPr="00246372">
        <w:rPr>
          <w:rFonts w:ascii="Arial" w:hAnsi="Arial" w:cs="Arial"/>
          <w:bCs/>
        </w:rPr>
        <w:t>jul</w:t>
      </w:r>
      <w:r w:rsidR="00D121B7" w:rsidRPr="00246372">
        <w:rPr>
          <w:rFonts w:ascii="Arial" w:hAnsi="Arial" w:cs="Arial"/>
          <w:bCs/>
        </w:rPr>
        <w:t>ho</w:t>
      </w:r>
      <w:r w:rsidR="000B2B65" w:rsidRPr="00246372">
        <w:rPr>
          <w:rFonts w:ascii="Arial" w:hAnsi="Arial" w:cs="Arial"/>
          <w:bCs/>
        </w:rPr>
        <w:t xml:space="preserve"> </w:t>
      </w:r>
      <w:r w:rsidR="00214D53" w:rsidRPr="00246372">
        <w:rPr>
          <w:rFonts w:ascii="Arial" w:hAnsi="Arial" w:cs="Arial"/>
          <w:bCs/>
        </w:rPr>
        <w:t>de 201</w:t>
      </w:r>
      <w:r w:rsidR="00B11712" w:rsidRPr="00246372">
        <w:rPr>
          <w:rFonts w:ascii="Arial" w:hAnsi="Arial" w:cs="Arial"/>
          <w:bCs/>
        </w:rPr>
        <w:t>9</w:t>
      </w:r>
      <w:r w:rsidR="0066045C" w:rsidRPr="00246372">
        <w:rPr>
          <w:rFonts w:ascii="Arial" w:hAnsi="Arial" w:cs="Arial"/>
          <w:bCs/>
        </w:rPr>
        <w:t>.</w:t>
      </w:r>
    </w:p>
    <w:p w:rsidR="00187DDC" w:rsidRDefault="00187DDC" w:rsidP="00246372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D55A8F" w:rsidRDefault="00D55A8F" w:rsidP="00246372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D55A8F" w:rsidRPr="00246372" w:rsidRDefault="00D55A8F" w:rsidP="00246372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246372" w:rsidRDefault="00CF1945" w:rsidP="0024637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46372"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 w:rsidR="002D2EC3">
        <w:rPr>
          <w:rFonts w:ascii="Arial" w:hAnsi="Arial" w:cs="Arial"/>
          <w:sz w:val="22"/>
          <w:szCs w:val="22"/>
        </w:rPr>
        <w:t xml:space="preserve"> Municipal</w:t>
      </w:r>
    </w:p>
    <w:p w:rsidR="00D55A8F" w:rsidRDefault="00D55A8F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55A8F" w:rsidRDefault="00D55A8F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55A8F" w:rsidRDefault="00D55A8F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55A8F" w:rsidRDefault="00D55A8F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55A8F" w:rsidRPr="00CF1945" w:rsidRDefault="00D55A8F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6C6020" w:rsidRDefault="00C54942" w:rsidP="001D24DD">
      <w:pPr>
        <w:spacing w:after="0" w:line="240" w:lineRule="auto"/>
        <w:rPr>
          <w:rFonts w:ascii="Arial" w:hAnsi="Arial" w:cs="Arial"/>
          <w:b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D55A8F" w:rsidRDefault="00D55A8F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CF1945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14D9">
        <w:rPr>
          <w:rFonts w:ascii="Arial" w:hAnsi="Arial" w:cs="Arial"/>
          <w:b/>
          <w:bCs/>
          <w:color w:val="auto"/>
          <w:u w:val="single"/>
        </w:rPr>
        <w:t>4</w:t>
      </w:r>
      <w:r w:rsidR="008531BF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410E7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HO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D864DA" w:rsidRDefault="00A3449A" w:rsidP="00A3449A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</w:t>
      </w:r>
      <w:r w:rsidR="003366E4">
        <w:rPr>
          <w:rFonts w:ascii="Arial" w:hAnsi="Arial" w:cs="Arial"/>
          <w:sz w:val="22"/>
          <w:szCs w:val="22"/>
        </w:rPr>
        <w:t>r abertura de Crédito Adicional Suplementar</w:t>
      </w:r>
      <w:r>
        <w:rPr>
          <w:rFonts w:ascii="Arial" w:hAnsi="Arial" w:cs="Arial"/>
          <w:sz w:val="22"/>
          <w:szCs w:val="22"/>
        </w:rPr>
        <w:t xml:space="preserve"> no Orçamento Municipal de 2019</w:t>
      </w:r>
      <w:r w:rsidRPr="00D864DA">
        <w:rPr>
          <w:rFonts w:ascii="Arial" w:hAnsi="Arial" w:cs="Arial"/>
          <w:sz w:val="22"/>
          <w:szCs w:val="22"/>
        </w:rPr>
        <w:t>.</w:t>
      </w:r>
    </w:p>
    <w:p w:rsidR="00A3449A" w:rsidRPr="00D864DA" w:rsidRDefault="00A3449A" w:rsidP="00A3449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366E4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</w:t>
      </w:r>
      <w:r>
        <w:rPr>
          <w:rFonts w:ascii="Arial" w:hAnsi="Arial" w:cs="Arial"/>
          <w:sz w:val="22"/>
          <w:szCs w:val="22"/>
        </w:rPr>
        <w:t>nicípio para o exercício de 2019</w:t>
      </w:r>
      <w:r w:rsidRPr="00F80041">
        <w:rPr>
          <w:rFonts w:ascii="Arial" w:hAnsi="Arial" w:cs="Arial"/>
          <w:sz w:val="22"/>
          <w:szCs w:val="22"/>
        </w:rPr>
        <w:t>, no</w:t>
      </w:r>
      <w:r w:rsidR="0070490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70490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</w:t>
      </w:r>
      <w:r w:rsidR="0070490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de trabalho e respectivas categorias </w:t>
      </w:r>
      <w:r>
        <w:rPr>
          <w:rFonts w:ascii="Arial" w:hAnsi="Arial" w:cs="Arial"/>
          <w:sz w:val="22"/>
          <w:szCs w:val="22"/>
        </w:rPr>
        <w:t>econômicas e conforme a</w:t>
      </w:r>
      <w:r w:rsidR="0070490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quantia</w:t>
      </w:r>
      <w:r w:rsidR="0070490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70490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E7611D" w:rsidRDefault="00E7611D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Gabinete do Prefeito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do Gabinete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Administração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0201 – Gestão Administrativa Central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2.201 – Manutenção do Gabinete do Prefeito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E7611D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A3449A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Gabinete do Prefeito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Outras Atividades Públicas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Segurança Pública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181 – Policiamento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0202 – Município Estando Presente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2.206 – Apoio a Segurança Pública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R$ 10.000,00 (dez mil reais)</w:t>
      </w:r>
    </w:p>
    <w:p w:rsidR="0047409D" w:rsidRDefault="0047409D" w:rsidP="0047409D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47409D" w:rsidRDefault="0047409D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2.301 – Manutenção das Atividades da Secretaria de Administração</w:t>
      </w:r>
    </w:p>
    <w:p w:rsidR="00160B17" w:rsidRDefault="00160B17" w:rsidP="00160B1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</w:t>
      </w:r>
      <w:r w:rsidR="00853E42">
        <w:rPr>
          <w:rFonts w:ascii="Arial" w:hAnsi="Arial" w:cs="Arial"/>
        </w:rPr>
        <w:t xml:space="preserve">rceiros – Pessoa Jurídica. R$ </w:t>
      </w:r>
      <w:r w:rsidR="00D64DC1">
        <w:rPr>
          <w:rFonts w:ascii="Arial" w:hAnsi="Arial" w:cs="Arial"/>
        </w:rPr>
        <w:t>5</w:t>
      </w:r>
      <w:r w:rsidR="00853E42">
        <w:rPr>
          <w:rFonts w:ascii="Arial" w:hAnsi="Arial" w:cs="Arial"/>
        </w:rPr>
        <w:t>5</w:t>
      </w:r>
      <w:r>
        <w:rPr>
          <w:rFonts w:ascii="Arial" w:hAnsi="Arial" w:cs="Arial"/>
        </w:rPr>
        <w:t>.000,00 (</w:t>
      </w:r>
      <w:r w:rsidR="00D64DC1">
        <w:rPr>
          <w:rFonts w:ascii="Arial" w:hAnsi="Arial" w:cs="Arial"/>
        </w:rPr>
        <w:t>cinquenta</w:t>
      </w:r>
      <w:r w:rsidR="00853E42">
        <w:rPr>
          <w:rFonts w:ascii="Arial" w:hAnsi="Arial" w:cs="Arial"/>
        </w:rPr>
        <w:t xml:space="preserve"> e cinco</w:t>
      </w:r>
      <w:r>
        <w:rPr>
          <w:rFonts w:ascii="Arial" w:hAnsi="Arial" w:cs="Arial"/>
        </w:rPr>
        <w:t xml:space="preserve"> mil reais)</w:t>
      </w:r>
    </w:p>
    <w:p w:rsidR="00160B17" w:rsidRDefault="00160B17" w:rsidP="00160B1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160B17" w:rsidRDefault="00160B17" w:rsidP="00160B1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Secretaria de Administração, Planejamento, Finanças, Gestão e Tributos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Manutenção das Atividades Administrativas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Administração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 – Gestão Tributária, Administrativa e Planejamento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1.302 – Aquisição de Equipamentos e Materiais Permanentes</w:t>
      </w:r>
    </w:p>
    <w:p w:rsidR="00E7611D" w:rsidRDefault="00E7611D" w:rsidP="00E761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R$ 25.000,00 (vinte e cinco mil reais)</w:t>
      </w:r>
    </w:p>
    <w:p w:rsidR="007901FE" w:rsidRDefault="00E7611D" w:rsidP="00E7611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160B17" w:rsidRDefault="00160B17" w:rsidP="00160B1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D5B15" w:rsidRDefault="001D5B15" w:rsidP="00160B1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01FE" w:rsidRPr="00D16F88" w:rsidRDefault="00D16F88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07 – </w:t>
      </w:r>
      <w:r w:rsidR="007901FE">
        <w:rPr>
          <w:rFonts w:ascii="Arial" w:hAnsi="Arial" w:cs="Arial"/>
          <w:sz w:val="22"/>
          <w:szCs w:val="22"/>
        </w:rPr>
        <w:t>Secretaria de Obras, Infraestrutura e Saneamento</w:t>
      </w:r>
    </w:p>
    <w:p w:rsidR="007901FE" w:rsidRDefault="00D16F88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 – </w:t>
      </w:r>
      <w:r w:rsidR="007901FE">
        <w:rPr>
          <w:rFonts w:ascii="Arial" w:hAnsi="Arial" w:cs="Arial"/>
          <w:sz w:val="22"/>
          <w:szCs w:val="22"/>
        </w:rPr>
        <w:t>Atendimento dos Serviços Públicos</w:t>
      </w:r>
    </w:p>
    <w:p w:rsidR="007901FE" w:rsidRDefault="007901FE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– Urbanismo</w:t>
      </w:r>
    </w:p>
    <w:p w:rsidR="007901FE" w:rsidRDefault="007901FE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452 – Serviços Urbanos</w:t>
      </w:r>
    </w:p>
    <w:p w:rsidR="007901FE" w:rsidRDefault="007901FE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0704 – Serviços Públicos Essenciais</w:t>
      </w:r>
    </w:p>
    <w:p w:rsidR="007901FE" w:rsidRDefault="007901FE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2.711 – Manutenção e Ampliação da Iluminação Pública</w:t>
      </w:r>
    </w:p>
    <w:p w:rsidR="007901FE" w:rsidRDefault="007901FE" w:rsidP="007901F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R$ 30.000,00 (trinta mil reais)</w:t>
      </w:r>
    </w:p>
    <w:p w:rsidR="007901FE" w:rsidRDefault="007901FE" w:rsidP="007901FE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1543BF" w:rsidRDefault="001543BF" w:rsidP="00E20E7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1543BF" w:rsidRDefault="001543BF" w:rsidP="00E20E7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R$ 125.000,00 (cento e vinte e cinco mil reais)</w:t>
      </w:r>
    </w:p>
    <w:p w:rsidR="001543BF" w:rsidRDefault="001543BF" w:rsidP="00E20E7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1543BF" w:rsidRDefault="001543BF" w:rsidP="00E20E7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E51828" w:rsidRDefault="00A3449A" w:rsidP="00E20E7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332C3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366E4">
        <w:rPr>
          <w:rFonts w:ascii="Arial" w:hAnsi="Arial" w:cs="Arial"/>
          <w:sz w:val="22"/>
          <w:szCs w:val="22"/>
        </w:rPr>
        <w:t>Suplementar</w:t>
      </w:r>
      <w:r w:rsidRPr="003332C3">
        <w:rPr>
          <w:rFonts w:ascii="Arial" w:hAnsi="Arial" w:cs="Arial"/>
          <w:sz w:val="22"/>
          <w:szCs w:val="22"/>
        </w:rPr>
        <w:t xml:space="preserve"> 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</w:t>
      </w:r>
      <w:r w:rsidR="003366E4">
        <w:rPr>
          <w:rFonts w:ascii="Arial" w:hAnsi="Arial" w:cs="Arial"/>
          <w:sz w:val="22"/>
          <w:szCs w:val="22"/>
        </w:rPr>
        <w:t>superávit financeiro</w:t>
      </w:r>
      <w:r w:rsidR="00E20E7E">
        <w:rPr>
          <w:rFonts w:ascii="Arial" w:hAnsi="Arial" w:cs="Arial"/>
          <w:sz w:val="22"/>
          <w:szCs w:val="22"/>
        </w:rPr>
        <w:t xml:space="preserve">, verificado no exercício de </w:t>
      </w:r>
      <w:r w:rsidRPr="003332C3">
        <w:rPr>
          <w:rFonts w:ascii="Arial" w:hAnsi="Arial" w:cs="Arial"/>
          <w:sz w:val="22"/>
          <w:szCs w:val="22"/>
        </w:rPr>
        <w:t>201</w:t>
      </w:r>
      <w:r w:rsidR="003366E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</w:t>
      </w:r>
      <w:r w:rsidR="00E20E7E">
        <w:rPr>
          <w:rFonts w:ascii="Arial" w:hAnsi="Arial" w:cs="Arial"/>
          <w:sz w:val="22"/>
          <w:szCs w:val="22"/>
        </w:rPr>
        <w:t xml:space="preserve"> no valor de </w:t>
      </w:r>
      <w:r w:rsidR="000F5160" w:rsidRPr="003332C3">
        <w:rPr>
          <w:rFonts w:ascii="Arial" w:hAnsi="Arial" w:cs="Arial"/>
          <w:sz w:val="22"/>
          <w:szCs w:val="22"/>
        </w:rPr>
        <w:t xml:space="preserve">R$ </w:t>
      </w:r>
      <w:r w:rsidR="001D5B15">
        <w:rPr>
          <w:rFonts w:ascii="Arial" w:hAnsi="Arial" w:cs="Arial"/>
          <w:sz w:val="22"/>
          <w:szCs w:val="22"/>
        </w:rPr>
        <w:t>125.000,00 (cento e vinte e cinco</w:t>
      </w:r>
      <w:r w:rsidR="00B771B9">
        <w:rPr>
          <w:rFonts w:ascii="Arial" w:hAnsi="Arial" w:cs="Arial"/>
          <w:sz w:val="22"/>
          <w:szCs w:val="22"/>
        </w:rPr>
        <w:t xml:space="preserve"> mil reais)</w:t>
      </w:r>
      <w:r w:rsidR="00E20E7E">
        <w:rPr>
          <w:rFonts w:ascii="Arial" w:hAnsi="Arial" w:cs="Arial"/>
          <w:sz w:val="22"/>
          <w:szCs w:val="22"/>
        </w:rPr>
        <w:t xml:space="preserve">, na </w:t>
      </w:r>
      <w:r w:rsidR="000F5160" w:rsidRPr="00E51828">
        <w:rPr>
          <w:rFonts w:ascii="Arial" w:hAnsi="Arial" w:cs="Arial"/>
          <w:sz w:val="22"/>
          <w:szCs w:val="22"/>
        </w:rPr>
        <w:t xml:space="preserve">Fonte de Recurso: </w:t>
      </w:r>
      <w:r w:rsidR="00B771B9" w:rsidRPr="00E51828">
        <w:rPr>
          <w:rFonts w:ascii="Arial" w:hAnsi="Arial" w:cs="Arial"/>
          <w:sz w:val="22"/>
          <w:szCs w:val="22"/>
        </w:rPr>
        <w:t>0001 – Livre.</w:t>
      </w:r>
    </w:p>
    <w:p w:rsidR="00A3449A" w:rsidRPr="00E51828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3449A" w:rsidRDefault="00A3449A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1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51828">
        <w:rPr>
          <w:rFonts w:ascii="Arial" w:hAnsi="Arial" w:cs="Arial"/>
          <w:sz w:val="22"/>
          <w:szCs w:val="22"/>
        </w:rPr>
        <w:t>Esta Lei entra em vigor na data de sua publicação.</w:t>
      </w:r>
    </w:p>
    <w:p w:rsidR="001B2C80" w:rsidRDefault="001B2C80" w:rsidP="00A344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42A78" w:rsidRPr="00E51828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51828">
        <w:rPr>
          <w:rFonts w:ascii="Arial" w:hAnsi="Arial" w:cs="Arial"/>
          <w:color w:val="auto"/>
        </w:rPr>
        <w:t>Arroio do</w:t>
      </w:r>
      <w:r w:rsidRPr="00CF1945">
        <w:rPr>
          <w:rFonts w:ascii="Arial" w:hAnsi="Arial" w:cs="Arial"/>
          <w:color w:val="auto"/>
        </w:rPr>
        <w:t xml:space="preserve"> Padre, </w:t>
      </w:r>
      <w:r w:rsidR="00D70819">
        <w:rPr>
          <w:rFonts w:ascii="Arial" w:hAnsi="Arial" w:cs="Arial"/>
          <w:color w:val="auto"/>
        </w:rPr>
        <w:t>30</w:t>
      </w:r>
      <w:r w:rsidRPr="00CF1945">
        <w:rPr>
          <w:rFonts w:ascii="Arial" w:hAnsi="Arial" w:cs="Arial"/>
          <w:color w:val="auto"/>
        </w:rPr>
        <w:t xml:space="preserve"> de</w:t>
      </w:r>
      <w:r w:rsidR="00643DB2" w:rsidRPr="00CF1945">
        <w:rPr>
          <w:rFonts w:ascii="Arial" w:hAnsi="Arial" w:cs="Arial"/>
          <w:color w:val="auto"/>
        </w:rPr>
        <w:t xml:space="preserve"> </w:t>
      </w:r>
      <w:r w:rsidR="001B7B12" w:rsidRPr="00CF1945">
        <w:rPr>
          <w:rFonts w:ascii="Arial" w:hAnsi="Arial" w:cs="Arial"/>
          <w:color w:val="auto"/>
        </w:rPr>
        <w:t>ju</w:t>
      </w:r>
      <w:r w:rsidR="005436D3">
        <w:rPr>
          <w:rFonts w:ascii="Arial" w:hAnsi="Arial" w:cs="Arial"/>
          <w:color w:val="auto"/>
        </w:rPr>
        <w:t>l</w:t>
      </w:r>
      <w:r w:rsidR="001B7B12" w:rsidRPr="00CF1945">
        <w:rPr>
          <w:rFonts w:ascii="Arial" w:hAnsi="Arial" w:cs="Arial"/>
          <w:color w:val="auto"/>
        </w:rPr>
        <w:t>ho</w:t>
      </w:r>
      <w:r w:rsidRPr="00CF1945">
        <w:rPr>
          <w:rFonts w:ascii="Arial" w:hAnsi="Arial" w:cs="Arial"/>
          <w:color w:val="auto"/>
        </w:rPr>
        <w:t xml:space="preserve"> de 201</w:t>
      </w:r>
      <w:r w:rsidR="00643DB2" w:rsidRPr="00CF1945">
        <w:rPr>
          <w:rFonts w:ascii="Arial" w:hAnsi="Arial" w:cs="Arial"/>
          <w:color w:val="auto"/>
        </w:rPr>
        <w:t>9</w:t>
      </w:r>
      <w:r w:rsidRPr="00CF1945">
        <w:rPr>
          <w:rFonts w:ascii="Arial" w:hAnsi="Arial" w:cs="Arial"/>
          <w:color w:val="auto"/>
        </w:rPr>
        <w:t xml:space="preserve">. </w:t>
      </w:r>
    </w:p>
    <w:p w:rsidR="001B2C80" w:rsidRPr="00CF1945" w:rsidRDefault="001B2C80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bookmarkStart w:id="0" w:name="_GoBack"/>
      <w:bookmarkEnd w:id="0"/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>Visto técnico: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F1945">
        <w:rPr>
          <w:rFonts w:ascii="Arial" w:hAnsi="Arial" w:cs="Arial"/>
          <w:color w:val="auto"/>
        </w:rPr>
        <w:t>Loutar</w:t>
      </w:r>
      <w:proofErr w:type="spellEnd"/>
      <w:r w:rsidRPr="00CF1945">
        <w:rPr>
          <w:rFonts w:ascii="Arial" w:hAnsi="Arial" w:cs="Arial"/>
          <w:color w:val="auto"/>
        </w:rPr>
        <w:t xml:space="preserve"> </w:t>
      </w:r>
      <w:proofErr w:type="spellStart"/>
      <w:r w:rsidRPr="00CF1945">
        <w:rPr>
          <w:rFonts w:ascii="Arial" w:hAnsi="Arial" w:cs="Arial"/>
          <w:color w:val="auto"/>
        </w:rPr>
        <w:t>Prieb</w:t>
      </w:r>
      <w:proofErr w:type="spellEnd"/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CF194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B2C80" w:rsidRPr="00CF1945" w:rsidRDefault="001B2C80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CF194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CF1945" w:rsidRDefault="002D2EC3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>
        <w:rPr>
          <w:rFonts w:ascii="Arial" w:hAnsi="Arial" w:cs="Arial"/>
          <w:sz w:val="22"/>
          <w:szCs w:val="22"/>
        </w:rPr>
        <w:t xml:space="preserve"> Municipal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D55A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16" w:rsidRDefault="00FB2E16">
      <w:pPr>
        <w:spacing w:after="0" w:line="240" w:lineRule="auto"/>
      </w:pPr>
      <w:r>
        <w:separator/>
      </w:r>
    </w:p>
  </w:endnote>
  <w:endnote w:type="continuationSeparator" w:id="0">
    <w:p w:rsidR="00FB2E16" w:rsidRDefault="00FB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16" w:rsidRDefault="00FB2E16">
      <w:pPr>
        <w:spacing w:after="0" w:line="240" w:lineRule="auto"/>
      </w:pPr>
      <w:r>
        <w:separator/>
      </w:r>
    </w:p>
  </w:footnote>
  <w:footnote w:type="continuationSeparator" w:id="0">
    <w:p w:rsidR="00FB2E16" w:rsidRDefault="00FB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43BF"/>
    <w:rsid w:val="001567B7"/>
    <w:rsid w:val="00160B1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78BC"/>
    <w:rsid w:val="001A2ABA"/>
    <w:rsid w:val="001A7FAE"/>
    <w:rsid w:val="001B0742"/>
    <w:rsid w:val="001B0FFF"/>
    <w:rsid w:val="001B13D0"/>
    <w:rsid w:val="001B2C80"/>
    <w:rsid w:val="001B3063"/>
    <w:rsid w:val="001B7B12"/>
    <w:rsid w:val="001B7CA7"/>
    <w:rsid w:val="001C19E6"/>
    <w:rsid w:val="001C1A7A"/>
    <w:rsid w:val="001C55B5"/>
    <w:rsid w:val="001C5D34"/>
    <w:rsid w:val="001D24DD"/>
    <w:rsid w:val="001D5B15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4851"/>
    <w:rsid w:val="0024510E"/>
    <w:rsid w:val="00246372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320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66E4"/>
    <w:rsid w:val="00337C7E"/>
    <w:rsid w:val="00343B80"/>
    <w:rsid w:val="00344D81"/>
    <w:rsid w:val="00344F7E"/>
    <w:rsid w:val="0035342E"/>
    <w:rsid w:val="003536A9"/>
    <w:rsid w:val="003539D3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E63C8"/>
    <w:rsid w:val="003F1E75"/>
    <w:rsid w:val="003F1F93"/>
    <w:rsid w:val="003F2141"/>
    <w:rsid w:val="004125F5"/>
    <w:rsid w:val="0041442D"/>
    <w:rsid w:val="00414D3C"/>
    <w:rsid w:val="004158DD"/>
    <w:rsid w:val="00415B3E"/>
    <w:rsid w:val="0043018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12E"/>
    <w:rsid w:val="00466BFC"/>
    <w:rsid w:val="004706F9"/>
    <w:rsid w:val="0047219B"/>
    <w:rsid w:val="0047409D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4C11"/>
    <w:rsid w:val="0056504C"/>
    <w:rsid w:val="005675BF"/>
    <w:rsid w:val="00571926"/>
    <w:rsid w:val="00574EA3"/>
    <w:rsid w:val="00574F7E"/>
    <w:rsid w:val="005757D0"/>
    <w:rsid w:val="00577245"/>
    <w:rsid w:val="005808E6"/>
    <w:rsid w:val="005817E9"/>
    <w:rsid w:val="005827C9"/>
    <w:rsid w:val="00585848"/>
    <w:rsid w:val="00590162"/>
    <w:rsid w:val="00592FD3"/>
    <w:rsid w:val="005A11C5"/>
    <w:rsid w:val="005A1B73"/>
    <w:rsid w:val="005A24B9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10E7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020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4900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223"/>
    <w:rsid w:val="00784415"/>
    <w:rsid w:val="0078655F"/>
    <w:rsid w:val="00786A86"/>
    <w:rsid w:val="007901FE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3DF2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24F2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E42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3616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C77"/>
    <w:rsid w:val="00983DAA"/>
    <w:rsid w:val="00986B5A"/>
    <w:rsid w:val="00991330"/>
    <w:rsid w:val="00992D7E"/>
    <w:rsid w:val="009946F5"/>
    <w:rsid w:val="00994B7C"/>
    <w:rsid w:val="00994D4D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5877"/>
    <w:rsid w:val="00A665DC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25CD5"/>
    <w:rsid w:val="00B31358"/>
    <w:rsid w:val="00B33D89"/>
    <w:rsid w:val="00B3576B"/>
    <w:rsid w:val="00B42F4B"/>
    <w:rsid w:val="00B451DB"/>
    <w:rsid w:val="00B52467"/>
    <w:rsid w:val="00B54F9B"/>
    <w:rsid w:val="00B556E5"/>
    <w:rsid w:val="00B6199E"/>
    <w:rsid w:val="00B61B80"/>
    <w:rsid w:val="00B66252"/>
    <w:rsid w:val="00B673D2"/>
    <w:rsid w:val="00B742F8"/>
    <w:rsid w:val="00B771B9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0DB"/>
    <w:rsid w:val="00CA7D18"/>
    <w:rsid w:val="00CB0138"/>
    <w:rsid w:val="00CB0428"/>
    <w:rsid w:val="00CB2417"/>
    <w:rsid w:val="00CB3D54"/>
    <w:rsid w:val="00CB5358"/>
    <w:rsid w:val="00CB73A5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13F"/>
    <w:rsid w:val="00D07EB7"/>
    <w:rsid w:val="00D11236"/>
    <w:rsid w:val="00D121B7"/>
    <w:rsid w:val="00D16D64"/>
    <w:rsid w:val="00D16F88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5A8F"/>
    <w:rsid w:val="00D56027"/>
    <w:rsid w:val="00D56300"/>
    <w:rsid w:val="00D57039"/>
    <w:rsid w:val="00D60465"/>
    <w:rsid w:val="00D60E20"/>
    <w:rsid w:val="00D62A4F"/>
    <w:rsid w:val="00D64DC1"/>
    <w:rsid w:val="00D70229"/>
    <w:rsid w:val="00D7081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05AA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1828"/>
    <w:rsid w:val="00E57971"/>
    <w:rsid w:val="00E613E4"/>
    <w:rsid w:val="00E63B34"/>
    <w:rsid w:val="00E72BB0"/>
    <w:rsid w:val="00E749F0"/>
    <w:rsid w:val="00E75A2B"/>
    <w:rsid w:val="00E75C46"/>
    <w:rsid w:val="00E7611D"/>
    <w:rsid w:val="00E80744"/>
    <w:rsid w:val="00E837C7"/>
    <w:rsid w:val="00E84B24"/>
    <w:rsid w:val="00E8501A"/>
    <w:rsid w:val="00E86E8F"/>
    <w:rsid w:val="00EA494F"/>
    <w:rsid w:val="00EA681E"/>
    <w:rsid w:val="00EB3FD9"/>
    <w:rsid w:val="00EB51B6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14E2"/>
    <w:rsid w:val="00F95A2A"/>
    <w:rsid w:val="00FA02BF"/>
    <w:rsid w:val="00FA0A70"/>
    <w:rsid w:val="00FA16D0"/>
    <w:rsid w:val="00FA2338"/>
    <w:rsid w:val="00FA5E14"/>
    <w:rsid w:val="00FB136E"/>
    <w:rsid w:val="00FB2E16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B7C2-F641-4BB7-B506-1B2E0806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86</cp:revision>
  <cp:lastPrinted>2019-07-31T12:39:00Z</cp:lastPrinted>
  <dcterms:created xsi:type="dcterms:W3CDTF">2019-07-29T12:41:00Z</dcterms:created>
  <dcterms:modified xsi:type="dcterms:W3CDTF">2019-08-05T12:15:00Z</dcterms:modified>
</cp:coreProperties>
</file>