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100139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2.640 DE 27 DE MARÇO DE 2024.</w:t>
      </w:r>
      <w:bookmarkStart w:id="0" w:name="_Hlk162420987"/>
      <w:bookmarkEnd w:id="0"/>
    </w:p>
    <w:p>
      <w:pPr>
        <w:pStyle w:val="Padro"/>
        <w:tabs>
          <w:tab w:val="clear" w:pos="708"/>
          <w:tab w:val="left" w:pos="4677" w:leader="none"/>
          <w:tab w:val="left" w:pos="7800" w:leader="none"/>
          <w:tab w:val="right" w:pos="13715" w:leader="none"/>
        </w:tabs>
        <w:spacing w:lineRule="auto" w:line="240" w:before="0" w:after="0"/>
        <w:ind w:left="3969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Altera o Anexo II, da Lei Municipal nº 962, de 04 de novembro de 2009, acrescendo novo valor aos vencimentos dos Cargos e Funções Gratificadas vinculadas ao Magistério Público Municipal.</w:t>
      </w:r>
    </w:p>
    <w:p>
      <w:pPr>
        <w:pStyle w:val="Padro"/>
        <w:tabs>
          <w:tab w:val="clear" w:pos="708"/>
          <w:tab w:val="left" w:pos="4677" w:leader="none"/>
          <w:tab w:val="left" w:pos="7800" w:leader="none"/>
          <w:tab w:val="right" w:pos="13715" w:leader="none"/>
        </w:tabs>
        <w:spacing w:lineRule="auto" w:line="240" w:before="0" w:after="0"/>
        <w:ind w:left="3969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dro"/>
        <w:tabs>
          <w:tab w:val="clear" w:pos="708"/>
          <w:tab w:val="left" w:pos="4677" w:leader="none"/>
          <w:tab w:val="left" w:pos="7800" w:leader="none"/>
          <w:tab w:val="right" w:pos="13715" w:leader="none"/>
        </w:tabs>
        <w:spacing w:lineRule="auto" w:line="240" w:before="0" w:after="0"/>
        <w:ind w:left="396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/>
        <w:t xml:space="preserve"> </w:t>
      </w: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Standard"/>
        <w:jc w:val="both"/>
        <w:rPr/>
      </w:pPr>
      <w:r>
        <w:rPr>
          <w:rFonts w:cs="Calibri"/>
          <w:b/>
        </w:rPr>
        <w:t xml:space="preserve"> </w:t>
      </w:r>
      <w:r>
        <w:rPr>
          <w:rFonts w:cs="Arial" w:ascii="Arial" w:hAnsi="Arial"/>
          <w:b/>
        </w:rPr>
        <w:t>Art. 1º</w:t>
      </w:r>
      <w:r>
        <w:rPr>
          <w:rFonts w:cs="Calibri"/>
        </w:rPr>
        <w:t xml:space="preserve"> </w:t>
      </w:r>
      <w:r>
        <w:rPr>
          <w:rFonts w:cs="Arial" w:ascii="Arial" w:hAnsi="Arial"/>
        </w:rPr>
        <w:t>A presente Lei a</w:t>
      </w:r>
      <w:r>
        <w:rPr>
          <w:rFonts w:cs="Arial" w:ascii="Arial" w:hAnsi="Arial"/>
          <w:bCs/>
        </w:rPr>
        <w:t>ltera o Anexo II, da Lei Municipal nº 962, de 04 de novembro de 2009, acrescendo novo valor aos vencimentos dos Cargos e Funções Gratificadas vinculadas ao Magistério Público Municipal.</w:t>
      </w:r>
    </w:p>
    <w:p>
      <w:pPr>
        <w:pStyle w:val="Standard"/>
        <w:jc w:val="both"/>
        <w:rPr>
          <w:rFonts w:ascii="Arial" w:hAnsi="Arial" w:cs="Arial"/>
          <w:vanish/>
        </w:rPr>
      </w:pPr>
      <w:r>
        <w:rPr>
          <w:rFonts w:cs="Arial" w:ascii="Arial" w:hAnsi="Arial"/>
          <w:vanish w:val="false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Os valores dos vencimentos dos cargos constantes no anexo II da Lei Municipal nº 962, de 04 de novembro de 2009, serão acrescidos do valor de R$ 50,00 (cinquenta reais).</w:t>
      </w:r>
    </w:p>
    <w:p>
      <w:pPr>
        <w:pStyle w:val="Standard"/>
        <w:jc w:val="both"/>
        <w:rPr/>
      </w:pPr>
      <w:r>
        <w:rPr>
          <w:rFonts w:ascii="Arial" w:hAnsi="Arial"/>
          <w:b/>
          <w:bCs/>
        </w:rPr>
        <w:t xml:space="preserve">§1º </w:t>
      </w:r>
      <w:r>
        <w:rPr>
          <w:rFonts w:ascii="Arial" w:hAnsi="Arial"/>
        </w:rPr>
        <w:t>As Funções Gratificadas terão acrescidos a seus vencimentos o valor estabelecido no caput proporcionalmente.</w:t>
      </w:r>
    </w:p>
    <w:p>
      <w:pPr>
        <w:pStyle w:val="Standard"/>
        <w:jc w:val="both"/>
        <w:rPr/>
      </w:pPr>
      <w:r>
        <w:rPr>
          <w:rFonts w:ascii="Arial" w:hAnsi="Arial"/>
          <w:b/>
          <w:bCs/>
        </w:rPr>
        <w:t xml:space="preserve">§2º </w:t>
      </w:r>
      <w:r>
        <w:rPr>
          <w:rFonts w:ascii="Arial" w:hAnsi="Arial"/>
        </w:rPr>
        <w:t>A proporção/percentual a ser adotado será apurado a contar do vencimento do Cargo de Professor 1 – 20h, onde o valor a ser acrescido de R$ 50,00, será considerado 100% (cem por cento).</w:t>
      </w:r>
    </w:p>
    <w:p>
      <w:pPr>
        <w:pStyle w:val="Standard"/>
        <w:jc w:val="both"/>
        <w:rPr/>
      </w:pPr>
      <w:r>
        <w:rPr>
          <w:rFonts w:ascii="Arial" w:hAnsi="Arial"/>
          <w:b/>
          <w:bCs/>
        </w:rPr>
        <w:t xml:space="preserve">Art. 3º </w:t>
      </w:r>
      <w:r>
        <w:rPr>
          <w:rFonts w:ascii="Arial" w:hAnsi="Arial"/>
        </w:rPr>
        <w:t>O anexo II da Lei Municipal nº 962, de 04 de novembro de 2009, passará a vigorar com a redação abaixo especificada:</w:t>
      </w:r>
    </w:p>
    <w:tbl>
      <w:tblPr>
        <w:tblW w:w="7926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79"/>
        <w:gridCol w:w="2946"/>
      </w:tblGrid>
      <w:tr>
        <w:trPr>
          <w:trHeight w:val="438" w:hRule="atLeast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b/>
                <w:bCs/>
                <w:i/>
                <w:iCs/>
              </w:rPr>
              <w:t>Denominação da Categoria Funcional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b/>
                <w:bCs/>
                <w:i/>
                <w:iCs/>
              </w:rPr>
              <w:t>Valor Padrão – R$</w:t>
            </w:r>
          </w:p>
        </w:tc>
      </w:tr>
      <w:tr>
        <w:trPr>
          <w:trHeight w:val="438" w:hRule="atLeast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/>
            </w:pPr>
            <w:r>
              <w:rPr>
                <w:rFonts w:ascii="Arial" w:hAnsi="Arial"/>
                <w:i/>
                <w:iCs/>
              </w:rPr>
              <w:t>Professor 1 – 20h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i/>
                <w:iCs/>
              </w:rPr>
              <w:t>2.178,05</w:t>
            </w:r>
          </w:p>
        </w:tc>
      </w:tr>
      <w:tr>
        <w:trPr>
          <w:trHeight w:val="418" w:hRule="atLeast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/>
            </w:pPr>
            <w:r>
              <w:rPr>
                <w:rFonts w:ascii="Arial" w:hAnsi="Arial"/>
                <w:i/>
                <w:iCs/>
              </w:rPr>
              <w:t>Professor 2 – 20h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i/>
                <w:iCs/>
              </w:rPr>
              <w:t>2.178,05</w:t>
            </w:r>
          </w:p>
        </w:tc>
      </w:tr>
      <w:tr>
        <w:trPr>
          <w:trHeight w:val="438" w:hRule="atLeast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/>
            </w:pPr>
            <w:r>
              <w:rPr>
                <w:rFonts w:ascii="Arial" w:hAnsi="Arial"/>
                <w:i/>
                <w:iCs/>
              </w:rPr>
              <w:t>Professor 1 – 40h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i/>
                <w:iCs/>
              </w:rPr>
              <w:t>4.306,12</w:t>
            </w:r>
          </w:p>
        </w:tc>
      </w:tr>
      <w:tr>
        <w:trPr>
          <w:trHeight w:val="418" w:hRule="atLeast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/>
            </w:pPr>
            <w:r>
              <w:rPr>
                <w:rFonts w:ascii="Arial" w:hAnsi="Arial"/>
                <w:i/>
                <w:iCs/>
              </w:rPr>
              <w:t>Orientador Educacional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i/>
                <w:iCs/>
              </w:rPr>
              <w:t>2.178,05</w:t>
            </w:r>
          </w:p>
        </w:tc>
      </w:tr>
      <w:tr>
        <w:trPr>
          <w:trHeight w:val="438" w:hRule="atLeast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/>
            </w:pPr>
            <w:r>
              <w:rPr>
                <w:rFonts w:ascii="Arial" w:hAnsi="Arial"/>
                <w:i/>
                <w:iCs/>
              </w:rPr>
              <w:t>Diretor de Escola 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i/>
                <w:iCs/>
              </w:rPr>
              <w:t>1.917,50</w:t>
            </w:r>
          </w:p>
        </w:tc>
      </w:tr>
      <w:tr>
        <w:trPr>
          <w:trHeight w:val="418" w:hRule="atLeast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/>
            </w:pPr>
            <w:r>
              <w:rPr>
                <w:rFonts w:ascii="Arial" w:hAnsi="Arial"/>
                <w:i/>
                <w:iCs/>
              </w:rPr>
              <w:t>Diretor de Escola 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i/>
                <w:iCs/>
              </w:rPr>
              <w:t>1.466,84</w:t>
            </w:r>
          </w:p>
        </w:tc>
      </w:tr>
      <w:tr>
        <w:trPr>
          <w:trHeight w:val="438" w:hRule="atLeast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/>
            </w:pPr>
            <w:r>
              <w:rPr>
                <w:rFonts w:ascii="Arial" w:hAnsi="Arial"/>
                <w:i/>
                <w:iCs/>
              </w:rPr>
              <w:t>Regente de Unidade Escolar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i/>
                <w:iCs/>
              </w:rPr>
              <w:t>249,32</w:t>
            </w:r>
          </w:p>
        </w:tc>
      </w:tr>
      <w:tr>
        <w:trPr>
          <w:trHeight w:val="418" w:hRule="atLeast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/>
            </w:pPr>
            <w:r>
              <w:rPr>
                <w:rFonts w:ascii="Arial" w:hAnsi="Arial"/>
                <w:i/>
                <w:iCs/>
              </w:rPr>
              <w:t>Coordenador Pedagógico (Escolas)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i/>
                <w:iCs/>
              </w:rPr>
              <w:t>1.891,89</w:t>
            </w:r>
          </w:p>
        </w:tc>
      </w:tr>
      <w:tr>
        <w:trPr>
          <w:trHeight w:val="438" w:hRule="atLeast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both"/>
              <w:rPr/>
            </w:pPr>
            <w:r>
              <w:rPr>
                <w:rFonts w:ascii="Arial" w:hAnsi="Arial"/>
                <w:i/>
                <w:iCs/>
              </w:rPr>
              <w:t>Coordenador Pedagógico (Escolas) II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ascii="Arial" w:hAnsi="Arial"/>
                <w:i/>
                <w:iCs/>
              </w:rPr>
              <w:t>1.374,53</w:t>
            </w:r>
          </w:p>
        </w:tc>
      </w:tr>
    </w:tbl>
    <w:p>
      <w:pPr>
        <w:pStyle w:val="Standard"/>
        <w:jc w:val="both"/>
        <w:rPr>
          <w:rFonts w:eastAsia="SimSun, 宋体"/>
        </w:rPr>
      </w:pPr>
      <w:r>
        <w:rPr>
          <w:rFonts w:eastAsia="SimSun, 宋体"/>
        </w:rPr>
      </w:r>
    </w:p>
    <w:p>
      <w:pPr>
        <w:pStyle w:val="Standard"/>
        <w:jc w:val="both"/>
        <w:rPr/>
      </w:pPr>
      <w:r>
        <w:rPr>
          <w:rFonts w:ascii="Arial" w:hAnsi="Arial"/>
          <w:b/>
          <w:bCs/>
        </w:rPr>
        <w:t xml:space="preserve">Art. 4º </w:t>
      </w:r>
      <w:r>
        <w:rPr>
          <w:rFonts w:ascii="Arial" w:hAnsi="Arial"/>
        </w:rPr>
        <w:t>Será acrescido o valor de R$ 50,00 (cinquenta reais) aos valores pagos pelo município a servidores contratados, mediante termo aditivo a cada contrato firmado.</w:t>
      </w:r>
    </w:p>
    <w:p>
      <w:pPr>
        <w:pStyle w:val="Standard"/>
        <w:jc w:val="both"/>
        <w:rPr/>
      </w:pPr>
      <w:r>
        <w:rPr>
          <w:rFonts w:ascii="Arial" w:hAnsi="Arial"/>
          <w:b/>
          <w:bCs/>
        </w:rPr>
        <w:t>Parágrafo Único:</w:t>
      </w:r>
      <w:r>
        <w:rPr>
          <w:rFonts w:ascii="Arial" w:hAnsi="Arial"/>
        </w:rPr>
        <w:t xml:space="preserve"> A contratos firmados com professores com carga horária semanal inferior a 20h (vinte horas), o valor de que trata o caput, será pago proporcionalmente.</w:t>
      </w:r>
    </w:p>
    <w:p>
      <w:pPr>
        <w:pStyle w:val="Standard"/>
        <w:jc w:val="both"/>
        <w:rPr/>
      </w:pPr>
      <w:r>
        <w:rPr>
          <w:rFonts w:ascii="Arial" w:hAnsi="Arial"/>
          <w:b/>
          <w:bCs/>
        </w:rPr>
        <w:t xml:space="preserve">Art. 5º </w:t>
      </w:r>
      <w:r>
        <w:rPr>
          <w:rFonts w:ascii="Arial" w:hAnsi="Arial"/>
        </w:rPr>
        <w:t>As despesas decorrentes da presente Lei correrão por conta de dotações orçamentárias próprias consignadas ao orçamento municipal vigente, suplementadas, se necessário.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b/>
          <w:bCs/>
          <w:color w:val="auto"/>
        </w:rPr>
        <w:t>Art. 6º</w:t>
      </w:r>
      <w:r>
        <w:rPr>
          <w:rFonts w:eastAsia="Arial" w:cs="Arial" w:ascii="Arial" w:hAnsi="Arial"/>
          <w:color w:val="auto"/>
        </w:rPr>
        <w:t xml:space="preserve"> Esta Lei entra em vigor na data de sua publicação, surtindo seus efeitos legais a contar de 01 de março de 2024.</w:t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ascii="Arial" w:hAnsi="Arial"/>
        </w:rPr>
        <w:t>Arroio do Padre, 27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/>
      </w:pPr>
      <w:r>
        <w:rPr>
          <w:rFonts w:ascii="Arial" w:hAnsi="Arial"/>
        </w:rPr>
        <w:t>Prefeito Municipal</w:t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right"/>
        <w:rPr>
          <w:rFonts w:ascii="Arial" w:hAnsi="Arial" w:eastAsia="Arial" w:cs="Arial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963e5d"/>
    <w:rPr>
      <w:rFonts w:eastAsia="SimSun"/>
      <w:color w:val="00000A"/>
      <w:sz w:val="22"/>
      <w:szCs w:val="22"/>
      <w:lang w:eastAsia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1"/>
    <w:rsid w:val="00963e5d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LibreOffice/7.0.6.2$Windows_X86_64 LibreOffice_project/144abb84a525d8e30c9dbbefa69cbbf2d8d4ae3b</Application>
  <AppVersion>15.0000</AppVersion>
  <Pages>2</Pages>
  <Words>379</Words>
  <Characters>1966</Characters>
  <CharactersWithSpaces>2400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2024-03-27T11:48:00Z</dcterms:created>
  <dc:creator>Adm-04</dc:creator>
  <dc:description/>
  <dc:language>pt-BR</dc:language>
  <cp:lastModifiedBy/>
  <cp:lastPrinted>2024-03-27T11:47:00Z</cp:lastPrinted>
  <dcterms:modified xsi:type="dcterms:W3CDTF">2024-03-28T08:48:10Z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