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-442595</wp:posOffset>
            </wp:positionV>
            <wp:extent cx="922020" cy="92456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4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andard"/>
        <w:spacing w:before="0" w:after="0"/>
        <w:jc w:val="both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Textbody"/>
        <w:spacing w:lineRule="auto" w:line="276" w:before="0" w:after="0"/>
        <w:jc w:val="center"/>
        <w:rPr>
          <w:rFonts w:ascii="Arial" w:hAnsi="Arial" w:cs="Arial, sans-serif"/>
          <w:b/>
          <w:b/>
          <w:caps/>
        </w:rPr>
      </w:pPr>
      <w:r>
        <w:rPr>
          <w:rFonts w:cs="Arial, sans-serif" w:ascii="Arial" w:hAnsi="Arial"/>
          <w:b/>
          <w:caps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ESTADO DO RIO GRANDE DO SUL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PREFEITURA DE ARROIO DO PADRE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  <w:t>GABINETE DO PREFEITO</w:t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Corpodotexto"/>
        <w:spacing w:before="0" w:after="0"/>
        <w:jc w:val="center"/>
        <w:rPr>
          <w:rFonts w:ascii="Arial" w:hAnsi="Arial" w:cs="Arial;sans-serif"/>
          <w:b/>
          <w:b/>
        </w:rPr>
      </w:pPr>
      <w:r>
        <w:rPr>
          <w:rFonts w:cs="Arial;sans-serif" w:ascii="Arial" w:hAnsi="Arial"/>
          <w:b/>
        </w:rPr>
      </w:r>
    </w:p>
    <w:p>
      <w:pPr>
        <w:pStyle w:val="Padr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>
          <w:rFonts w:ascii="Arial" w:hAnsi="Arial" w:cs="Arial"/>
          <w:b/>
          <w:b/>
          <w:bCs/>
          <w:color w:val="auto"/>
          <w:u w:val="single"/>
        </w:rPr>
      </w:pPr>
      <w:r>
        <w:rPr>
          <w:rFonts w:cs="Arial" w:ascii="Arial" w:hAnsi="Arial"/>
          <w:b/>
          <w:bCs/>
          <w:color w:val="auto"/>
          <w:u w:val="single"/>
        </w:rPr>
        <w:t>LEI Nº 2.629 DE 19 DE MARÇO DE 2024.</w:t>
      </w:r>
      <w:bookmarkStart w:id="0" w:name="_Hlk161737271"/>
      <w:bookmarkEnd w:id="0"/>
    </w:p>
    <w:p>
      <w:pPr>
        <w:pStyle w:val="Standard"/>
        <w:ind w:left="396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  <w:t>Autoriza o Município de Arroio do Padre a realizar abertura de Crédito Adicional Suplementar no Orçamento Municipal de 2024.</w:t>
      </w:r>
    </w:p>
    <w:p>
      <w:pPr>
        <w:pStyle w:val="Standard"/>
        <w:ind w:left="3969" w:firstLine="709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tabs>
          <w:tab w:val="clear" w:pos="709"/>
          <w:tab w:val="left" w:pos="4535" w:leader="none"/>
          <w:tab w:val="left" w:pos="10957" w:leader="none"/>
        </w:tabs>
        <w:spacing w:before="0" w:after="240"/>
        <w:jc w:val="both"/>
        <w:rPr>
          <w:rFonts w:ascii="Arial" w:hAnsi="Arial" w:eastAsia="SimSun"/>
          <w:lang w:eastAsia="en-US" w:bidi="ar-SA"/>
        </w:rPr>
      </w:pPr>
      <w:r>
        <w:rPr>
          <w:rFonts w:eastAsia="Arial" w:ascii="Arial" w:hAnsi="Arial"/>
          <w:color w:val="000000"/>
        </w:rPr>
        <w:t>O Prefeito Municipal de Arroio do Padre, RS, Sr. Rui Carlos Peter, faz saber que a C</w:t>
      </w:r>
      <w:r>
        <w:rPr>
          <w:rFonts w:eastAsia="Arial" w:ascii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eastAsia="SimSun" w:ascii="Arial" w:hAnsi="Arial"/>
          <w:lang w:eastAsia="en-US" w:bidi="ar-SA"/>
        </w:rPr>
        <w:t xml:space="preserve">                                                                                     </w:t>
      </w:r>
    </w:p>
    <w:p>
      <w:pPr>
        <w:pStyle w:val="Standard"/>
        <w:ind w:left="4678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Fonts w:cs="Arial" w:ascii="Arial" w:hAnsi="Arial"/>
          <w:b/>
          <w:bCs/>
        </w:rPr>
        <w:t xml:space="preserve">Art. 1° </w:t>
      </w:r>
      <w:r>
        <w:rPr>
          <w:rFonts w:cs="Arial" w:ascii="Arial" w:hAnsi="Arial"/>
        </w:rPr>
        <w:t>Fica autorizado o Município de Arroio do Padre, Poder Executivo, a realizar abertura de Crédito Adicional Suplementar no Orçamento do Município para o exercício de 2024, nos seguintes programas de trabalho e respectivas categorias econômicas e conforme as quantias indicadas:</w:t>
      </w:r>
    </w:p>
    <w:p>
      <w:pPr>
        <w:pStyle w:val="Standard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jc w:val="both"/>
        <w:rPr/>
      </w:pPr>
      <w:r>
        <w:rPr>
          <w:rFonts w:cs="Arial" w:ascii="Arial" w:hAnsi="Arial"/>
        </w:rPr>
        <w:t>02 – Gabinete do Prefeito</w:t>
      </w:r>
    </w:p>
    <w:p>
      <w:pPr>
        <w:pStyle w:val="Standard"/>
        <w:jc w:val="both"/>
        <w:rPr/>
      </w:pPr>
      <w:r>
        <w:rPr>
          <w:rFonts w:cs="Arial" w:ascii="Arial" w:hAnsi="Arial"/>
        </w:rPr>
        <w:t>01 – Manutenção das Atividades do Gabinete</w:t>
      </w:r>
    </w:p>
    <w:p>
      <w:pPr>
        <w:pStyle w:val="Standard"/>
        <w:jc w:val="both"/>
        <w:rPr/>
      </w:pPr>
      <w:r>
        <w:rPr>
          <w:rFonts w:cs="Arial" w:ascii="Arial" w:hAnsi="Arial"/>
        </w:rPr>
        <w:t>04 – Administração</w:t>
      </w:r>
    </w:p>
    <w:p>
      <w:pPr>
        <w:pStyle w:val="Standard"/>
        <w:jc w:val="both"/>
        <w:rPr/>
      </w:pPr>
      <w:r>
        <w:rPr>
          <w:rFonts w:cs="Arial" w:ascii="Arial" w:hAnsi="Arial"/>
        </w:rPr>
        <w:t>122 – Administração Geral</w:t>
      </w:r>
    </w:p>
    <w:p>
      <w:pPr>
        <w:pStyle w:val="Standard"/>
        <w:jc w:val="both"/>
        <w:rPr/>
      </w:pPr>
      <w:r>
        <w:rPr>
          <w:rFonts w:cs="Arial" w:ascii="Arial" w:hAnsi="Arial"/>
        </w:rPr>
        <w:t>0201 – Gestão Administrativa Central</w:t>
      </w:r>
    </w:p>
    <w:p>
      <w:pPr>
        <w:pStyle w:val="Standard"/>
        <w:jc w:val="both"/>
        <w:rPr/>
      </w:pPr>
      <w:r>
        <w:rPr>
          <w:rFonts w:cs="Arial" w:ascii="Arial" w:hAnsi="Arial"/>
        </w:rPr>
        <w:t>2.201 – Manutenção do Gabinete do Prefeito</w:t>
      </w:r>
    </w:p>
    <w:p>
      <w:pPr>
        <w:pStyle w:val="Standard"/>
        <w:jc w:val="both"/>
        <w:rPr/>
      </w:pPr>
      <w:r>
        <w:rPr>
          <w:rFonts w:cs="Arial" w:ascii="Arial" w:hAnsi="Arial"/>
        </w:rPr>
        <w:t>3.3.90.30.00.00.00 – Material de Consumo. R$ 20.000,00 (vinte mil reais)</w:t>
      </w:r>
    </w:p>
    <w:p>
      <w:pPr>
        <w:pStyle w:val="Standard"/>
        <w:jc w:val="both"/>
        <w:rPr/>
      </w:pPr>
      <w:r>
        <w:rPr>
          <w:rFonts w:cs="Arial" w:ascii="Arial" w:hAnsi="Arial"/>
        </w:rPr>
        <w:t>3.3.90.39.00.00.00 – Outros Serviços de Terceiros – Pessoa Jurídica. R$ 20.000,00 (vinte mil reais)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Fonte de Recurso: 2.501.0000 – Outros Recursos não Vinculados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Standard"/>
        <w:jc w:val="both"/>
        <w:rPr/>
      </w:pPr>
      <w:r>
        <w:rPr>
          <w:rFonts w:cs="Arial" w:ascii="Arial" w:hAnsi="Arial"/>
        </w:rPr>
        <w:t>02 – Gabinete do Prefeito</w:t>
      </w:r>
    </w:p>
    <w:p>
      <w:pPr>
        <w:pStyle w:val="Standard"/>
        <w:jc w:val="both"/>
        <w:rPr/>
      </w:pPr>
      <w:r>
        <w:rPr>
          <w:rFonts w:cs="Arial" w:ascii="Arial" w:hAnsi="Arial"/>
        </w:rPr>
        <w:t>01 – Manutenção das Atividades do Gabinete</w:t>
      </w:r>
    </w:p>
    <w:p>
      <w:pPr>
        <w:pStyle w:val="Standard"/>
        <w:jc w:val="both"/>
        <w:rPr/>
      </w:pPr>
      <w:r>
        <w:rPr>
          <w:rFonts w:cs="Arial" w:ascii="Arial" w:hAnsi="Arial"/>
        </w:rPr>
        <w:t>04 – Administração</w:t>
      </w:r>
    </w:p>
    <w:p>
      <w:pPr>
        <w:pStyle w:val="Standard"/>
        <w:jc w:val="both"/>
        <w:rPr/>
      </w:pPr>
      <w:r>
        <w:rPr>
          <w:rFonts w:cs="Arial" w:ascii="Arial" w:hAnsi="Arial"/>
        </w:rPr>
        <w:t>122 – Administração Geral</w:t>
      </w:r>
    </w:p>
    <w:p>
      <w:pPr>
        <w:pStyle w:val="Standard"/>
        <w:jc w:val="both"/>
        <w:rPr/>
      </w:pPr>
      <w:r>
        <w:rPr>
          <w:rFonts w:cs="Arial" w:ascii="Arial" w:hAnsi="Arial"/>
        </w:rPr>
        <w:t>0201 – Gestão Administrativa Central</w:t>
      </w:r>
    </w:p>
    <w:p>
      <w:pPr>
        <w:pStyle w:val="Standard"/>
        <w:jc w:val="both"/>
        <w:rPr/>
      </w:pPr>
      <w:r>
        <w:rPr>
          <w:rFonts w:cs="Arial" w:ascii="Arial" w:hAnsi="Arial"/>
        </w:rPr>
        <w:t>1.205 – Reaparelhamento do Gabinete do Prefeito</w:t>
      </w:r>
    </w:p>
    <w:p>
      <w:pPr>
        <w:pStyle w:val="Standard"/>
        <w:jc w:val="both"/>
        <w:rPr/>
      </w:pPr>
      <w:r>
        <w:rPr>
          <w:rFonts w:cs="Arial" w:ascii="Arial" w:hAnsi="Arial"/>
        </w:rPr>
        <w:t>4.4.90.52.00.00.00 – Equipamentos e Material Permanente. R$ 25.000,00 (vinte e cinco mil reais)</w:t>
      </w:r>
    </w:p>
    <w:p>
      <w:pPr>
        <w:pStyle w:val="Standard"/>
        <w:jc w:val="both"/>
        <w:rPr/>
      </w:pPr>
      <w:r>
        <w:rPr>
          <w:rFonts w:cs="Arial" w:ascii="Arial" w:hAnsi="Arial"/>
        </w:rPr>
        <w:t>Fonte de Recurso: 2.501.0000 – Outros Recursos não Vinculados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02 – Gabinete do Prefeito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05 – Fundo Municipal da Defesa Civil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06 – Segurança Pública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182 – Defesa Civil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0202 – Município Estando Presente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2.207- Manutenção dos Serviços da Defesa Civil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3.3.90.32.00.00.00 – Material, Bem ou Serviço de Distribuição Gratuita. R$ 15.000,00 (quinze mil reais)</w:t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Fonte de Recurso: 2.501.0000 – Outros Recursos não Vinculados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color w:val="000000"/>
        </w:rPr>
      </w:pPr>
      <w:r>
        <w:rPr>
          <w:rFonts w:cs="Arial" w:ascii="Arial" w:hAnsi="Arial"/>
          <w:color w:val="000000"/>
        </w:rPr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03 – Secretaria de Administração, Planejamento, Finanças, Gestão e Tributos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01 – Manutenção das Atividades Administrativas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04 – Administração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122 – Administração Geral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0301 – Gestão Tributária, Administrativa e Planejamento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2.301 – Manutenção das Atividades da Secretaria de Administração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3.3.90.30.00.00.00 – Material de Consumo. R$ 20.000,00 (vinte mil reais)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3.3.90.39.00.00.00 – Outros Serviços de Terceiros – Pessoa Jurídica. R$ 80.000,00 (oitenta mil reais)</w:t>
      </w:r>
    </w:p>
    <w:p>
      <w:pPr>
        <w:pStyle w:val="Standard"/>
        <w:tabs>
          <w:tab w:val="clear" w:pos="709"/>
          <w:tab w:val="left" w:pos="142" w:leader="none"/>
        </w:tabs>
        <w:spacing w:lineRule="auto" w:line="240" w:before="0" w:after="0"/>
        <w:ind w:right="-1" w:hanging="0"/>
        <w:jc w:val="both"/>
        <w:rPr/>
      </w:pPr>
      <w:r>
        <w:rPr>
          <w:rFonts w:cs="Arial" w:ascii="Arial" w:hAnsi="Arial"/>
        </w:rPr>
        <w:t>Fonte de Recurso: 2.501.0000 – Outros Recursos não Vinculados</w:t>
      </w:r>
    </w:p>
    <w:p>
      <w:pPr>
        <w:pStyle w:val="Standard"/>
        <w:tabs>
          <w:tab w:val="clear" w:pos="709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03 – Secretaria de Administração, Planejamento, Finanças, Gestão e Tributos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01 – Manutenção das Atividades Administrativas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04 – Administração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122 – Administração Geral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0301 – Gestão Tributária, Administrativa e Planejamento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1.302 – Reaparelhamento da Secretaria de Administração</w:t>
      </w:r>
    </w:p>
    <w:p>
      <w:pPr>
        <w:pStyle w:val="WWPadro"/>
        <w:tabs>
          <w:tab w:val="left" w:pos="708" w:leader="none"/>
          <w:tab w:val="left" w:pos="1543" w:leader="none"/>
          <w:tab w:val="left" w:pos="5460" w:leader="none"/>
        </w:tabs>
        <w:spacing w:lineRule="auto" w:line="240" w:before="0" w:after="0"/>
        <w:jc w:val="both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4.4.90.52.00.00.00 – Equipamentos e Material Permanente. R$ 80.000,00 (oitenta mil reais)</w:t>
      </w:r>
    </w:p>
    <w:p>
      <w:pPr>
        <w:pStyle w:val="Standard"/>
        <w:spacing w:before="0" w:after="0"/>
        <w:jc w:val="both"/>
        <w:rPr/>
      </w:pPr>
      <w:r>
        <w:rPr>
          <w:rFonts w:cs="Arial" w:ascii="Arial" w:hAnsi="Arial"/>
          <w:color w:val="000000"/>
        </w:rPr>
        <w:t xml:space="preserve">Fonte de Recurso: </w:t>
      </w:r>
      <w:r>
        <w:rPr>
          <w:rFonts w:cs="Arial" w:ascii="Arial" w:hAnsi="Arial"/>
        </w:rPr>
        <w:t>2.501.0000 – Outros Recursos não Vinculados</w:t>
      </w:r>
    </w:p>
    <w:p>
      <w:pPr>
        <w:pStyle w:val="Standard"/>
        <w:tabs>
          <w:tab w:val="clear" w:pos="709"/>
          <w:tab w:val="left" w:pos="142" w:leader="none"/>
        </w:tabs>
        <w:spacing w:lineRule="auto" w:line="240" w:before="0" w:after="0"/>
        <w:ind w:right="-1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Standard"/>
        <w:spacing w:lineRule="auto" w:line="240" w:before="0" w:after="0"/>
        <w:jc w:val="both"/>
        <w:rPr/>
      </w:pPr>
      <w:r>
        <w:rPr>
          <w:rFonts w:cs="Arial" w:ascii="Arial" w:hAnsi="Arial"/>
        </w:rPr>
        <w:t>Valor total do Crédito Adicional Suplementar: R$ 260.000,00 (duzentos e sessenta mil reais)</w:t>
      </w:r>
    </w:p>
    <w:p>
      <w:pPr>
        <w:pStyle w:val="Standard"/>
        <w:spacing w:lineRule="auto" w:line="240" w:before="0" w:after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spacing w:lineRule="auto" w:line="240"/>
        <w:jc w:val="both"/>
        <w:rPr/>
      </w:pPr>
      <w:r>
        <w:rPr>
          <w:rFonts w:cs="Arial" w:ascii="Arial" w:hAnsi="Arial"/>
          <w:b/>
          <w:bCs/>
        </w:rPr>
        <w:t xml:space="preserve">Art. 2° </w:t>
      </w:r>
      <w:r>
        <w:rPr>
          <w:rFonts w:cs="Arial" w:ascii="Arial" w:hAnsi="Arial"/>
        </w:rPr>
        <w:t xml:space="preserve">Servirão de cobertura para o Crédito Adicional Suplementar de que trata o art. 1° desta Lei, recursos financeiros provenientes do superávit financeiro verificado no exercício de 2023, </w:t>
      </w:r>
      <w:r>
        <w:rPr>
          <w:rFonts w:cs="Arial" w:ascii="Arial" w:hAnsi="Arial"/>
          <w:color w:val="000000"/>
        </w:rPr>
        <w:t xml:space="preserve">na Fonte de Recurso: </w:t>
      </w:r>
      <w:r>
        <w:rPr>
          <w:rFonts w:cs="Arial" w:ascii="Arial" w:hAnsi="Arial"/>
        </w:rPr>
        <w:t>2.501.0000 – Outros Recursos não Vinculados</w:t>
      </w:r>
      <w:r>
        <w:rPr>
          <w:rFonts w:cs="Arial" w:ascii="Arial" w:hAnsi="Arial"/>
          <w:color w:val="000000"/>
        </w:rPr>
        <w:t xml:space="preserve">, no valor de </w:t>
      </w:r>
      <w:r>
        <w:rPr>
          <w:rFonts w:cs="Arial" w:ascii="Arial" w:hAnsi="Arial"/>
        </w:rPr>
        <w:t>R$ 260.000,00 (duzentos e sessenta mil reais).</w:t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Standard"/>
        <w:tabs>
          <w:tab w:val="clear" w:pos="709"/>
          <w:tab w:val="left" w:pos="142" w:leader="none"/>
        </w:tabs>
        <w:ind w:right="-1" w:hanging="0"/>
        <w:jc w:val="both"/>
        <w:rPr>
          <w:rFonts w:ascii="Arial" w:hAnsi="Arial"/>
          <w:color w:val="000000"/>
        </w:rPr>
      </w:pPr>
      <w:r>
        <w:rPr>
          <w:rFonts w:cs="Arial" w:ascii="Arial" w:hAnsi="Arial"/>
          <w:b/>
          <w:bCs/>
        </w:rPr>
        <w:t xml:space="preserve">Art. 3° </w:t>
      </w:r>
      <w:r>
        <w:rPr>
          <w:rFonts w:cs="Arial" w:ascii="Arial" w:hAnsi="Arial"/>
          <w:bCs/>
        </w:rPr>
        <w:t>Esta Lei entra em vigor na data de sua publicação.</w:t>
      </w:r>
    </w:p>
    <w:p>
      <w:pPr>
        <w:pStyle w:val="Standard"/>
        <w:tabs>
          <w:tab w:val="clear" w:pos="709"/>
          <w:tab w:val="left" w:pos="708" w:leader="none"/>
          <w:tab w:val="left" w:pos="3831" w:leader="none"/>
          <w:tab w:val="right" w:pos="9746" w:leader="none"/>
        </w:tabs>
        <w:spacing w:before="0" w:after="120"/>
        <w:jc w:val="both"/>
        <w:rPr>
          <w:rFonts w:ascii="Arial" w:hAnsi="Arial" w:cs="Arial"/>
          <w:bCs/>
          <w:color w:val="000000"/>
        </w:rPr>
      </w:pPr>
      <w:r>
        <w:rPr>
          <w:rFonts w:cs="Arial" w:ascii="Arial" w:hAnsi="Arial"/>
          <w:bCs/>
          <w:color w:val="000000"/>
        </w:rPr>
      </w:r>
    </w:p>
    <w:p>
      <w:pPr>
        <w:pStyle w:val="Normal"/>
        <w:tabs>
          <w:tab w:val="clear" w:pos="709"/>
          <w:tab w:val="left" w:pos="0" w:leader="none"/>
        </w:tabs>
        <w:spacing w:before="0" w:after="120"/>
        <w:ind w:right="-1" w:hanging="0"/>
        <w:jc w:val="right"/>
        <w:rPr/>
      </w:pPr>
      <w:r>
        <w:rPr>
          <w:rFonts w:eastAsia="Arial" w:ascii="Arial" w:hAnsi="Arial"/>
        </w:rPr>
        <w:t xml:space="preserve"> </w:t>
      </w:r>
      <w:r>
        <w:rPr>
          <w:rFonts w:ascii="Arial" w:hAnsi="Arial"/>
        </w:rPr>
        <w:t>Arroio do Padre, 19 de março de 2024.</w:t>
      </w:r>
    </w:p>
    <w:p>
      <w:pPr>
        <w:pStyle w:val="Normal"/>
        <w:tabs>
          <w:tab w:val="clear" w:pos="709"/>
          <w:tab w:val="left" w:pos="0" w:leader="none"/>
        </w:tabs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>
      <w:pPr>
        <w:pStyle w:val="Normal"/>
        <w:jc w:val="center"/>
        <w:rPr>
          <w:rFonts w:ascii="Arial" w:hAnsi="Arial"/>
        </w:rPr>
      </w:pPr>
      <w:r>
        <w:rPr>
          <w:rFonts w:ascii="Arial" w:hAnsi="Arial"/>
        </w:rPr>
        <w:t>Rui Carlos Peter</w:t>
      </w:r>
    </w:p>
    <w:p>
      <w:pPr>
        <w:pStyle w:val="Normal"/>
        <w:jc w:val="center"/>
        <w:rPr>
          <w:rFonts w:ascii="Arial" w:hAnsi="Arial" w:eastAsia="Arial"/>
          <w:shd w:fill="FFFFFF" w:val="clear"/>
        </w:rPr>
      </w:pPr>
      <w:r>
        <w:rPr>
          <w:rFonts w:ascii="Arial" w:hAnsi="Arial"/>
        </w:rPr>
        <w:t>Prefeito Municipal</w:t>
      </w:r>
    </w:p>
    <w:p>
      <w:pPr>
        <w:pStyle w:val="Standard"/>
        <w:tabs>
          <w:tab w:val="clear" w:pos="709"/>
          <w:tab w:val="left" w:pos="0" w:leader="none"/>
        </w:tabs>
        <w:spacing w:lineRule="auto" w:line="240" w:before="0" w:after="0"/>
        <w:ind w:right="-1" w:hanging="0"/>
        <w:jc w:val="both"/>
        <w:rPr>
          <w:rFonts w:ascii="Arial" w:hAnsi="Arial" w:eastAsia="Arial" w:cs="Arial"/>
          <w:shd w:fill="FFFFFF" w:val="clear"/>
        </w:rPr>
      </w:pPr>
      <w:r>
        <w:rPr>
          <w:rFonts w:eastAsia="Arial" w:cs="Arial" w:ascii="Arial" w:hAnsi="Arial"/>
          <w:shd w:fill="FFFFFF" w:val="clear"/>
        </w:rPr>
      </w:r>
    </w:p>
    <w:p>
      <w:pPr>
        <w:pStyle w:val="Standard"/>
        <w:tabs>
          <w:tab w:val="clear" w:pos="709"/>
          <w:tab w:val="left" w:pos="0" w:leader="none"/>
        </w:tabs>
        <w:spacing w:before="0" w:after="0"/>
        <w:ind w:right="-1" w:hanging="0"/>
        <w:jc w:val="right"/>
        <w:rPr>
          <w:rFonts w:ascii="Arial" w:hAnsi="Arial" w:eastAsia="Arial" w:cs="Arial"/>
          <w:shd w:fill="FFFFFF" w:val="clear"/>
        </w:rPr>
      </w:pPr>
      <w:r>
        <w:rPr/>
      </w:r>
    </w:p>
    <w:sectPr>
      <w:headerReference w:type="default" r:id="rId3"/>
      <w:type w:val="nextPage"/>
      <w:pgSz w:w="11906" w:h="16781"/>
      <w:pgMar w:left="1134" w:right="1134" w:header="1134" w:top="1191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paragraph" w:styleId="Ttulo1">
    <w:name w:val="Heading 1"/>
    <w:basedOn w:val="Ttulo"/>
    <w:uiPriority w:val="9"/>
    <w:qFormat/>
    <w:pPr>
      <w:spacing w:before="240" w:after="60"/>
      <w:ind w:left="835" w:hanging="0"/>
      <w:outlineLvl w:val="0"/>
    </w:pPr>
    <w:rPr>
      <w:rFonts w:ascii="Arial" w:hAnsi="Arial" w:eastAsia="Times New Roman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qFormat/>
    <w:pPr>
      <w:keepNext w:val="true"/>
      <w:keepLines/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 w:customStyle="1">
    <w:name w:val="Hyperlink"/>
    <w:qFormat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Pr/>
  </w:style>
  <w:style w:type="character" w:styleId="RodapChar" w:customStyle="1">
    <w:name w:val="Rodapé Char"/>
    <w:basedOn w:val="DefaultParagraphFont"/>
    <w:qFormat/>
    <w:rPr/>
  </w:style>
  <w:style w:type="character" w:styleId="TextodebaloChar" w:customStyle="1">
    <w:name w:val="Texto de balão Char"/>
    <w:qFormat/>
    <w:rPr>
      <w:rFonts w:ascii="Tahoma" w:hAnsi="Tahoma" w:eastAsia="Tahoma" w:cs="Tahoma"/>
      <w:sz w:val="16"/>
      <w:szCs w:val="16"/>
    </w:rPr>
  </w:style>
  <w:style w:type="character" w:styleId="Ttulo1Char" w:customStyle="1">
    <w:name w:val="Título 1 Char"/>
    <w:qFormat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qFormat/>
    <w:rPr>
      <w:rFonts w:ascii="Cambria" w:hAnsi="Cambria" w:eastAsia="Times New Roman" w:cs="Times New Roman"/>
      <w:i/>
      <w:iCs/>
      <w:color w:val="404040"/>
      <w:sz w:val="22"/>
      <w:szCs w:val="22"/>
    </w:rPr>
  </w:style>
  <w:style w:type="character" w:styleId="CorpodetextoChar" w:customStyle="1">
    <w:name w:val="Corpo de texto Char"/>
    <w:basedOn w:val="DefaultParagraphFont"/>
    <w:qFormat/>
    <w:rPr>
      <w:rFonts w:eastAsia="SimSun"/>
      <w:color w:val="00000A"/>
      <w:sz w:val="22"/>
      <w:szCs w:val="22"/>
      <w:lang w:eastAsia="en-US"/>
    </w:rPr>
  </w:style>
  <w:style w:type="character" w:styleId="Smbolosdenumerao" w:customStyle="1">
    <w:name w:val="Símbolos de numeração"/>
    <w:qFormat/>
    <w:rPr/>
  </w:style>
  <w:style w:type="character" w:styleId="Caracteresdenotaderodap" w:customStyle="1">
    <w:name w:val="Caracteres de nota de rodapé"/>
    <w:qFormat/>
    <w:rPr/>
  </w:style>
  <w:style w:type="character" w:styleId="Caracteresdenotadefim" w:customStyle="1">
    <w:name w:val="Caracteres de nota de fim"/>
    <w:qFormat/>
    <w:rPr/>
  </w:style>
  <w:style w:type="character" w:styleId="VisitedInternetLink" w:customStyle="1">
    <w:name w:val="FollowedHyperlink"/>
    <w:qFormat/>
    <w:rPr>
      <w:color w:val="800000"/>
      <w:u w:val="single"/>
    </w:rPr>
  </w:style>
  <w:style w:type="character" w:styleId="CorpodetextoChar1" w:customStyle="1">
    <w:name w:val="Corpo de texto Char1"/>
    <w:basedOn w:val="DefaultParagraphFont"/>
    <w:link w:val="Corpodetexto"/>
    <w:qFormat/>
    <w:rsid w:val="003328e5"/>
    <w:rPr>
      <w:rFonts w:eastAsia="SimSun"/>
      <w:color w:val="00000A"/>
      <w:sz w:val="22"/>
      <w:szCs w:val="22"/>
      <w:lang w:eastAsia="en-US"/>
    </w:rPr>
  </w:style>
  <w:style w:type="paragraph" w:styleId="Ttulo" w:customStyle="1">
    <w:name w:val="Título"/>
    <w:basedOn w:val="Standard"/>
    <w:next w:val="Textbody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otexto">
    <w:name w:val="Body Text"/>
    <w:basedOn w:val="Padro"/>
    <w:link w:val="CorpodetextoChar1"/>
    <w:rsid w:val="003328e5"/>
    <w:pPr>
      <w:spacing w:before="0" w:after="120"/>
      <w:textAlignment w:val="auto"/>
    </w:pPr>
    <w:rPr>
      <w:rFonts w:ascii="Liberation Serif" w:hAnsi="Liberation Serif" w:cs="Arial"/>
      <w:lang w:bidi="hi-IN"/>
    </w:rPr>
  </w:style>
  <w:style w:type="paragraph" w:styleId="Lista">
    <w:name w:val="List"/>
    <w:basedOn w:val="Textbody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Standard"/>
    <w:qFormat/>
    <w:pPr>
      <w:suppressLineNumbers/>
    </w:pPr>
    <w:rPr>
      <w:rFonts w:ascii="Calibri" w:hAnsi="Calibri" w:eastAsia="Times New Roman"/>
      <w:sz w:val="22"/>
      <w:szCs w:val="20"/>
      <w:lang w:eastAsia="pt-BR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Padro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adro" w:customStyle="1">
    <w:name w:val="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Times New Roman"/>
      <w:color w:val="00000A"/>
      <w:kern w:val="2"/>
      <w:sz w:val="22"/>
      <w:szCs w:val="22"/>
      <w:lang w:eastAsia="en-US" w:bidi="ar-SA" w:val="pt-BR"/>
    </w:rPr>
  </w:style>
  <w:style w:type="paragraph" w:styleId="Ttulododocumento">
    <w:name w:val="Title"/>
    <w:basedOn w:val="Padro"/>
    <w:uiPriority w:val="10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bealhoeRodap" w:customStyle="1">
    <w:name w:val="Cabeçalho e Rodapé"/>
    <w:basedOn w:val="Standard"/>
    <w:qFormat/>
    <w:pPr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pPr>
      <w:spacing w:lineRule="atLeast" w:line="100" w:before="0" w:after="0"/>
    </w:pPr>
    <w:rPr>
      <w:rFonts w:ascii="Tahoma" w:hAnsi="Tahoma" w:eastAsia="Tahoma" w:cs="Tahoma"/>
      <w:sz w:val="16"/>
      <w:szCs w:val="16"/>
    </w:rPr>
  </w:style>
  <w:style w:type="paragraph" w:styleId="ListParagraph">
    <w:name w:val="List Paragraph"/>
    <w:basedOn w:val="Padro"/>
    <w:qFormat/>
    <w:pPr>
      <w:ind w:left="720" w:hanging="0"/>
    </w:pPr>
    <w:rPr/>
  </w:style>
  <w:style w:type="paragraph" w:styleId="WWPadro" w:customStyle="1">
    <w:name w:val="WW-Padrão"/>
    <w:qFormat/>
    <w:pPr>
      <w:widowControl/>
      <w:tabs>
        <w:tab w:val="clear" w:pos="709"/>
        <w:tab w:val="left" w:pos="708" w:leader="none"/>
      </w:tabs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/>
      <w:color w:val="00000A"/>
      <w:kern w:val="2"/>
      <w:sz w:val="22"/>
      <w:szCs w:val="22"/>
      <w:lang w:bidi="ar-SA" w:val="pt-BR" w:eastAsia="zh-CN"/>
    </w:rPr>
  </w:style>
  <w:style w:type="paragraph" w:styleId="Contedodoquadro" w:customStyle="1">
    <w:name w:val="Conteúdo do quadro"/>
    <w:basedOn w:val="Standard"/>
    <w:qFormat/>
    <w:pPr/>
    <w:rPr/>
  </w:style>
  <w:style w:type="paragraph" w:styleId="Contedodatabela" w:customStyle="1">
    <w:name w:val="Conteúdo da tabela"/>
    <w:basedOn w:val="Standard"/>
    <w:qFormat/>
    <w:pPr/>
    <w:rPr/>
  </w:style>
  <w:style w:type="paragraph" w:styleId="Ttulodetabela" w:customStyle="1">
    <w:name w:val="Título de tabela"/>
    <w:basedOn w:val="Contedodatabela"/>
    <w:qFormat/>
    <w:pPr/>
    <w:rPr/>
  </w:style>
  <w:style w:type="paragraph" w:styleId="Contedodalista" w:customStyle="1">
    <w:name w:val="Conteúdo da lista"/>
    <w:basedOn w:val="Standard"/>
    <w:qFormat/>
    <w:pPr>
      <w:ind w:left="567" w:hanging="0"/>
    </w:pPr>
    <w:rPr/>
  </w:style>
  <w:style w:type="paragraph" w:styleId="Default" w:customStyle="1">
    <w:name w:val="Default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hi-IN"/>
    </w:rPr>
  </w:style>
  <w:style w:type="numbering" w:styleId="NoList" w:customStyle="1">
    <w:name w:val="No List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LibreOffice/7.0.6.2$Windows_X86_64 LibreOffice_project/144abb84a525d8e30c9dbbefa69cbbf2d8d4ae3b</Application>
  <AppVersion>15.0000</AppVersion>
  <Pages>2</Pages>
  <Words>457</Words>
  <Characters>2841</Characters>
  <CharactersWithSpaces>3374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2024-03-19T14:18:00Z</dcterms:created>
  <dc:creator>Adm-04</dc:creator>
  <dc:description/>
  <dc:language>pt-BR</dc:language>
  <cp:lastModifiedBy/>
  <cp:lastPrinted>2024-03-19T08:45:00Z</cp:lastPrinted>
  <dcterms:modified xsi:type="dcterms:W3CDTF">2024-03-20T13:16:46Z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