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38DF" w14:textId="77777777" w:rsidR="00B87B6A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3FE9AF" wp14:editId="42F4ABC0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32440059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70858C" w14:textId="77777777" w:rsidR="00B87B6A" w:rsidRDefault="00B87B6A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5CEAA0D8" w14:textId="77777777" w:rsidR="00E9784B" w:rsidRDefault="00E9784B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CAF2610" w14:textId="77777777" w:rsidR="00E9784B" w:rsidRDefault="00E9784B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65402B7" w14:textId="77777777" w:rsidR="00E9784B" w:rsidRDefault="00E9784B" w:rsidP="00E9784B">
      <w:pPr>
        <w:pStyle w:val="Corpodetexto"/>
        <w:spacing w:after="0"/>
        <w:jc w:val="center"/>
        <w:rPr>
          <w:rFonts w:ascii="Arial" w:hAnsi="Arial" w:cs="Arial;sans-serif"/>
          <w:b/>
        </w:rPr>
      </w:pPr>
      <w:bookmarkStart w:id="0" w:name="_Hlk156977019"/>
      <w:bookmarkStart w:id="1" w:name="_Hlk156977001"/>
      <w:r>
        <w:rPr>
          <w:rFonts w:ascii="Arial" w:hAnsi="Arial" w:cs="Arial;sans-serif"/>
          <w:b/>
        </w:rPr>
        <w:t>ESTADO DO RIO GRANDE DO SUL</w:t>
      </w:r>
    </w:p>
    <w:p w14:paraId="7FF8E438" w14:textId="77777777" w:rsidR="00E9784B" w:rsidRDefault="00E9784B" w:rsidP="00E9784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A582BF6" w14:textId="77777777" w:rsidR="00E9784B" w:rsidRDefault="00E9784B" w:rsidP="00E9784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739B3A54" w14:textId="77777777" w:rsidR="00E9784B" w:rsidRDefault="00E9784B" w:rsidP="00E9784B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519B109" w14:textId="77777777" w:rsidR="00E9784B" w:rsidRDefault="00E9784B" w:rsidP="00E9784B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65A97E4F" w14:textId="66D1A128" w:rsidR="00E9784B" w:rsidRDefault="00E9784B" w:rsidP="00E9784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2.610 DE 24 DE JANEIRO DE 2024.</w:t>
      </w:r>
    </w:p>
    <w:bookmarkEnd w:id="0"/>
    <w:p w14:paraId="08242E68" w14:textId="77777777" w:rsidR="00B87B6A" w:rsidRDefault="00000000">
      <w:pPr>
        <w:pStyle w:val="Standarduser"/>
        <w:ind w:left="396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Município de Arroio do Padre a realizar abertura de Crédito Adicional Especial no Orçamento Municipal de 2024.</w:t>
      </w:r>
    </w:p>
    <w:bookmarkEnd w:id="1"/>
    <w:p w14:paraId="5CF61279" w14:textId="77777777" w:rsidR="00E9784B" w:rsidRDefault="00E9784B">
      <w:pPr>
        <w:pStyle w:val="Standarduser"/>
        <w:ind w:left="3969" w:firstLine="709"/>
        <w:jc w:val="both"/>
        <w:rPr>
          <w:rFonts w:ascii="Arial" w:hAnsi="Arial" w:cs="Arial"/>
        </w:rPr>
      </w:pPr>
    </w:p>
    <w:p w14:paraId="3F3CC72F" w14:textId="77777777" w:rsidR="00E9784B" w:rsidRDefault="00E9784B" w:rsidP="00E9784B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6F14F344" w14:textId="77777777" w:rsidR="00B87B6A" w:rsidRDefault="00B87B6A">
      <w:pPr>
        <w:pStyle w:val="Standarduser"/>
        <w:ind w:left="4678"/>
        <w:jc w:val="both"/>
        <w:rPr>
          <w:rFonts w:ascii="Arial" w:hAnsi="Arial" w:cs="Arial"/>
        </w:rPr>
      </w:pPr>
    </w:p>
    <w:p w14:paraId="11C56D58" w14:textId="77777777" w:rsidR="00B87B6A" w:rsidRDefault="00000000">
      <w:pPr>
        <w:pStyle w:val="Standarduser"/>
        <w:jc w:val="both"/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2024, no seguinte programa de trabalho e respectivas categorias econômicas e conforme a quantia indicada:</w:t>
      </w:r>
    </w:p>
    <w:p w14:paraId="5E008356" w14:textId="77777777" w:rsidR="00B87B6A" w:rsidRDefault="00B87B6A">
      <w:pPr>
        <w:pStyle w:val="Standarduser"/>
        <w:jc w:val="both"/>
        <w:rPr>
          <w:rFonts w:ascii="Arial" w:hAnsi="Arial" w:cs="Arial"/>
        </w:rPr>
      </w:pPr>
    </w:p>
    <w:p w14:paraId="54BB6730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</w:rPr>
        <w:t>07 – Secretaria de Obras, Infraestrutura e Saneamento</w:t>
      </w:r>
    </w:p>
    <w:p w14:paraId="34727A53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</w:rPr>
        <w:t>04 – Atendimento dos Serviços Públicos</w:t>
      </w:r>
    </w:p>
    <w:p w14:paraId="26CB8C7C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  <w:shd w:val="clear" w:color="auto" w:fill="FFFFFF"/>
        </w:rPr>
        <w:t>25 – Energia</w:t>
      </w:r>
    </w:p>
    <w:p w14:paraId="69D92BB7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  <w:shd w:val="clear" w:color="auto" w:fill="FFFFFF"/>
        </w:rPr>
        <w:t>752 – Energia Elétrica</w:t>
      </w:r>
    </w:p>
    <w:p w14:paraId="4B6EEDF0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</w:rPr>
        <w:t>0704 – Serviços Públicos Essenciais</w:t>
      </w:r>
    </w:p>
    <w:p w14:paraId="79AADD96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</w:rPr>
        <w:t>2.713 – Manutenção e Ampliação da Iluminação Pública</w:t>
      </w:r>
    </w:p>
    <w:p w14:paraId="2B03B5AF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  <w:color w:val="000000"/>
        </w:rPr>
        <w:t xml:space="preserve">4.4.90.30.00.00.00 – Material de Consumo. </w:t>
      </w:r>
      <w:r>
        <w:rPr>
          <w:rFonts w:ascii="Arial" w:hAnsi="Arial" w:cs="Arial"/>
        </w:rPr>
        <w:t>R$ 100.000,00 (cem mil reais)</w:t>
      </w:r>
    </w:p>
    <w:p w14:paraId="485DCD85" w14:textId="77777777" w:rsidR="00B87B6A" w:rsidRDefault="00000000">
      <w:pPr>
        <w:pStyle w:val="Standarduser"/>
        <w:jc w:val="both"/>
      </w:pPr>
      <w:r>
        <w:rPr>
          <w:rFonts w:ascii="Arial" w:hAnsi="Arial" w:cs="Arial"/>
        </w:rPr>
        <w:t xml:space="preserve">Fonte de Recurso: 2.706.3110 - </w:t>
      </w:r>
      <w:r>
        <w:rPr>
          <w:rFonts w:ascii="Arial" w:hAnsi="Arial" w:cs="Arial"/>
          <w:color w:val="000000"/>
        </w:rPr>
        <w:t>Transferência Especial da União</w:t>
      </w:r>
    </w:p>
    <w:p w14:paraId="51A24414" w14:textId="77777777" w:rsidR="00B87B6A" w:rsidRDefault="00B87B6A">
      <w:pPr>
        <w:pStyle w:val="Standarduser"/>
        <w:jc w:val="both"/>
        <w:rPr>
          <w:rFonts w:ascii="Arial" w:hAnsi="Arial" w:cs="Arial"/>
          <w:color w:val="000000"/>
        </w:rPr>
      </w:pPr>
    </w:p>
    <w:p w14:paraId="591A8828" w14:textId="77777777" w:rsidR="00B87B6A" w:rsidRDefault="00000000">
      <w:pPr>
        <w:pStyle w:val="Standarduser"/>
        <w:tabs>
          <w:tab w:val="left" w:pos="142"/>
        </w:tabs>
        <w:ind w:right="-1"/>
        <w:jc w:val="both"/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Especial de que trata o art. 1° desta Lei, recursos financeiros provenientes do superávit financeiro verificado no exercício de 2023, na Fonte de Recurso: 2.706.3110 - </w:t>
      </w:r>
      <w:r>
        <w:rPr>
          <w:rFonts w:ascii="Arial" w:hAnsi="Arial" w:cs="Arial"/>
          <w:color w:val="000000"/>
        </w:rPr>
        <w:t>Transferência Especial da União, no valor de</w:t>
      </w:r>
      <w:r>
        <w:rPr>
          <w:rFonts w:ascii="Arial" w:hAnsi="Arial" w:cs="Arial"/>
        </w:rPr>
        <w:t xml:space="preserve"> R$ 100.000,00 (cem mil reais).</w:t>
      </w:r>
    </w:p>
    <w:p w14:paraId="69E65F04" w14:textId="77777777" w:rsidR="00B87B6A" w:rsidRDefault="00B87B6A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</w:p>
    <w:p w14:paraId="45D7F94A" w14:textId="77777777" w:rsidR="00B87B6A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  <w:bCs/>
        </w:rPr>
        <w:t>Esta Lei entra em vigor na data de sua publicação.</w:t>
      </w:r>
    </w:p>
    <w:p w14:paraId="098367C0" w14:textId="77777777" w:rsidR="00B87B6A" w:rsidRDefault="00B87B6A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</w:p>
    <w:p w14:paraId="112FD864" w14:textId="77777777" w:rsidR="00B87B6A" w:rsidRDefault="00B87B6A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57694EC" w14:textId="77777777" w:rsidR="002768E7" w:rsidRDefault="002768E7" w:rsidP="002768E7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213BF4D5" w14:textId="77777777" w:rsidR="002768E7" w:rsidRDefault="002768E7" w:rsidP="002768E7">
      <w:pPr>
        <w:tabs>
          <w:tab w:val="left" w:pos="0"/>
        </w:tabs>
        <w:rPr>
          <w:rFonts w:ascii="Arial" w:hAnsi="Arial"/>
        </w:rPr>
      </w:pPr>
    </w:p>
    <w:p w14:paraId="142C53B7" w14:textId="77777777" w:rsidR="002768E7" w:rsidRDefault="002768E7" w:rsidP="002768E7">
      <w:pPr>
        <w:tabs>
          <w:tab w:val="left" w:pos="0"/>
        </w:tabs>
        <w:rPr>
          <w:rFonts w:ascii="Arial" w:hAnsi="Arial"/>
        </w:rPr>
      </w:pPr>
    </w:p>
    <w:p w14:paraId="6E38CB38" w14:textId="77777777" w:rsidR="002768E7" w:rsidRDefault="002768E7" w:rsidP="002768E7">
      <w:pPr>
        <w:rPr>
          <w:rFonts w:ascii="Arial" w:hAnsi="Arial"/>
        </w:rPr>
      </w:pPr>
    </w:p>
    <w:p w14:paraId="13D91F81" w14:textId="77777777" w:rsidR="002768E7" w:rsidRDefault="002768E7" w:rsidP="002768E7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0B9A4A98" w14:textId="77777777" w:rsidR="002768E7" w:rsidRDefault="002768E7" w:rsidP="002768E7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Henke </w:t>
      </w:r>
    </w:p>
    <w:p w14:paraId="392C5B92" w14:textId="77777777" w:rsidR="002768E7" w:rsidRDefault="002768E7" w:rsidP="002768E7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198F29B6" w14:textId="66430DD5" w:rsidR="00B87B6A" w:rsidRDefault="00B87B6A" w:rsidP="002768E7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</w:rPr>
      </w:pPr>
    </w:p>
    <w:sectPr w:rsidR="00B87B6A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02EE" w14:textId="77777777" w:rsidR="00252B6C" w:rsidRDefault="00252B6C">
      <w:pPr>
        <w:rPr>
          <w:rFonts w:hint="eastAsia"/>
        </w:rPr>
      </w:pPr>
      <w:r>
        <w:separator/>
      </w:r>
    </w:p>
  </w:endnote>
  <w:endnote w:type="continuationSeparator" w:id="0">
    <w:p w14:paraId="38EFFDA3" w14:textId="77777777" w:rsidR="00252B6C" w:rsidRDefault="00252B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9F9C" w14:textId="77777777" w:rsidR="00252B6C" w:rsidRDefault="00252B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FB7C86" w14:textId="77777777" w:rsidR="00252B6C" w:rsidRDefault="00252B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FE95" w14:textId="77777777" w:rsidR="00F7073D" w:rsidRDefault="00F707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5ED"/>
    <w:multiLevelType w:val="multilevel"/>
    <w:tmpl w:val="929CEA5E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30"/>
    <w:multiLevelType w:val="multilevel"/>
    <w:tmpl w:val="E97E419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7C8"/>
    <w:multiLevelType w:val="multilevel"/>
    <w:tmpl w:val="2EE6A4D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1229D6"/>
    <w:multiLevelType w:val="multilevel"/>
    <w:tmpl w:val="4CF496DA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4A944F6"/>
    <w:multiLevelType w:val="multilevel"/>
    <w:tmpl w:val="AC64FC5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9533569"/>
    <w:multiLevelType w:val="multilevel"/>
    <w:tmpl w:val="7916B46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1D550EAE"/>
    <w:multiLevelType w:val="multilevel"/>
    <w:tmpl w:val="C898F6F8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84B97"/>
    <w:multiLevelType w:val="multilevel"/>
    <w:tmpl w:val="6570CED0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48A"/>
    <w:multiLevelType w:val="multilevel"/>
    <w:tmpl w:val="58089EDA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3AEF1DFB"/>
    <w:multiLevelType w:val="multilevel"/>
    <w:tmpl w:val="D1E01DA8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0" w15:restartNumberingAfterBreak="0">
    <w:nsid w:val="40B52F08"/>
    <w:multiLevelType w:val="multilevel"/>
    <w:tmpl w:val="E7AE7DA4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2766980"/>
    <w:multiLevelType w:val="multilevel"/>
    <w:tmpl w:val="2B0A7F96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8313D"/>
    <w:multiLevelType w:val="multilevel"/>
    <w:tmpl w:val="6DF023C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3DCE"/>
    <w:multiLevelType w:val="multilevel"/>
    <w:tmpl w:val="95DA52E4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4F6F2C04"/>
    <w:multiLevelType w:val="multilevel"/>
    <w:tmpl w:val="8B14DE2A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51957800"/>
    <w:multiLevelType w:val="multilevel"/>
    <w:tmpl w:val="B5680CA0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C1A46"/>
    <w:multiLevelType w:val="multilevel"/>
    <w:tmpl w:val="67463FFE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9CC407B"/>
    <w:multiLevelType w:val="multilevel"/>
    <w:tmpl w:val="BCCC6CB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06680"/>
    <w:multiLevelType w:val="multilevel"/>
    <w:tmpl w:val="135CFA20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2F947FC"/>
    <w:multiLevelType w:val="multilevel"/>
    <w:tmpl w:val="C6E8405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4C94274"/>
    <w:multiLevelType w:val="multilevel"/>
    <w:tmpl w:val="34446CD6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1" w15:restartNumberingAfterBreak="0">
    <w:nsid w:val="7D1D12E3"/>
    <w:multiLevelType w:val="multilevel"/>
    <w:tmpl w:val="7F4AD438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083334619">
    <w:abstractNumId w:val="5"/>
  </w:num>
  <w:num w:numId="2" w16cid:durableId="1042946255">
    <w:abstractNumId w:val="4"/>
  </w:num>
  <w:num w:numId="3" w16cid:durableId="1872572167">
    <w:abstractNumId w:val="21"/>
  </w:num>
  <w:num w:numId="4" w16cid:durableId="1500849986">
    <w:abstractNumId w:val="19"/>
  </w:num>
  <w:num w:numId="5" w16cid:durableId="1416316083">
    <w:abstractNumId w:val="14"/>
  </w:num>
  <w:num w:numId="6" w16cid:durableId="62065606">
    <w:abstractNumId w:val="9"/>
  </w:num>
  <w:num w:numId="7" w16cid:durableId="1086146634">
    <w:abstractNumId w:val="16"/>
  </w:num>
  <w:num w:numId="8" w16cid:durableId="535461241">
    <w:abstractNumId w:val="2"/>
  </w:num>
  <w:num w:numId="9" w16cid:durableId="1391806612">
    <w:abstractNumId w:val="20"/>
  </w:num>
  <w:num w:numId="10" w16cid:durableId="1552573281">
    <w:abstractNumId w:val="3"/>
  </w:num>
  <w:num w:numId="11" w16cid:durableId="428429315">
    <w:abstractNumId w:val="11"/>
  </w:num>
  <w:num w:numId="12" w16cid:durableId="1800419493">
    <w:abstractNumId w:val="12"/>
  </w:num>
  <w:num w:numId="13" w16cid:durableId="905724515">
    <w:abstractNumId w:val="13"/>
  </w:num>
  <w:num w:numId="14" w16cid:durableId="1042513691">
    <w:abstractNumId w:val="8"/>
  </w:num>
  <w:num w:numId="15" w16cid:durableId="1250038021">
    <w:abstractNumId w:val="0"/>
  </w:num>
  <w:num w:numId="16" w16cid:durableId="261109673">
    <w:abstractNumId w:val="6"/>
  </w:num>
  <w:num w:numId="17" w16cid:durableId="1283460031">
    <w:abstractNumId w:val="7"/>
  </w:num>
  <w:num w:numId="18" w16cid:durableId="1155796962">
    <w:abstractNumId w:val="17"/>
  </w:num>
  <w:num w:numId="19" w16cid:durableId="624585523">
    <w:abstractNumId w:val="1"/>
  </w:num>
  <w:num w:numId="20" w16cid:durableId="989410178">
    <w:abstractNumId w:val="10"/>
  </w:num>
  <w:num w:numId="21" w16cid:durableId="1601647965">
    <w:abstractNumId w:val="15"/>
  </w:num>
  <w:num w:numId="22" w16cid:durableId="6576113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6A"/>
    <w:rsid w:val="000C4B66"/>
    <w:rsid w:val="00252B6C"/>
    <w:rsid w:val="002768E7"/>
    <w:rsid w:val="006F0660"/>
    <w:rsid w:val="00B87B6A"/>
    <w:rsid w:val="00E40EB8"/>
    <w:rsid w:val="00E9784B"/>
    <w:rsid w:val="00F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80E5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E9784B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E9784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2024-01-24T12:38:00Z</cp:lastPrinted>
  <dcterms:created xsi:type="dcterms:W3CDTF">2024-01-24T11:24:00Z</dcterms:created>
  <dcterms:modified xsi:type="dcterms:W3CDTF">2024-01-24T12:38:00Z</dcterms:modified>
</cp:coreProperties>
</file>