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2547620</wp:posOffset>
            </wp:positionH>
            <wp:positionV relativeFrom="paragraph">
              <wp:posOffset>-9525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Lei 2.043, de 05 de julho de 2018</w:t>
      </w: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.</w:t>
      </w:r>
    </w:p>
    <w:p>
      <w:pPr>
        <w:pStyle w:val="Normal"/>
        <w:ind w:left="4395" w:right="0" w:firstLine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 xml:space="preserve">O </w:t>
      </w: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>Vice-</w:t>
      </w: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 xml:space="preserve">Prefeito Municipal de Arroio do Padre, Sr. </w:t>
      </w: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>Nelson Milech</w:t>
      </w: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>,</w:t>
      </w: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>no exercício do cargo do Prefeito</w:t>
      </w: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 xml:space="preserve"> faz saber que a Câmara de Vereadores aprovou e eu sanciono e promulgo a seguinte Lei: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Fundo Municipal da Saúde – Rec. Vinc.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301 – Atenção Básica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1.532 - Aquisição de Próteses Dentárias Para a Comunidade Quilombola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3.3.90.39.00.00.00 – Outros Serviços de Terceiros - Pessoa Jurídica. R$ 13.000,00 (treze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4090 – Programa Saúde da Família – PSF.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da redução da seguinte dotação orçamentária: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Fundo Municipal da Saúde – Rec. Vinc.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301 – Atenção Básica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1.532 - Aquisição de Próteses Dentárias Para a Comunidade Quilombola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3.3.90.36.00.00.00 – Outros Serviços de Terceiros - Pessoa Física. R$ 13.000,00 (treze mil reais)</w:t>
      </w:r>
    </w:p>
    <w:p>
      <w:pPr>
        <w:pStyle w:val="Normal"/>
        <w:spacing w:lineRule="auto" w:line="240" w:before="0" w:after="57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4090 – Programa Saúde da Família – PSF.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Arial;sans-serif" w:hAnsi="Arial;sans-serif" w:cs="Arial;sans-serif"/>
          <w:color w:val="00000A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Corpodetexto"/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color w:val="00000A"/>
          <w:sz w:val="22"/>
          <w:szCs w:val="22"/>
        </w:rPr>
        <w:t>Arroio do Padre</w:t>
      </w:r>
      <w:r>
        <w:rPr>
          <w:rFonts w:cs="Arial;sans-serif" w:ascii="Arial;sans-serif" w:hAnsi="Arial;sans-serif"/>
          <w:color w:val="00000A"/>
          <w:sz w:val="22"/>
          <w:szCs w:val="22"/>
        </w:rPr>
        <w:t>, 0</w:t>
      </w:r>
      <w:r>
        <w:rPr>
          <w:rFonts w:cs="Arial;sans-serif" w:ascii="Arial;sans-serif" w:hAnsi="Arial;sans-serif"/>
          <w:color w:val="00000A"/>
          <w:sz w:val="22"/>
          <w:szCs w:val="22"/>
        </w:rPr>
        <w:t>5</w:t>
      </w:r>
      <w:r>
        <w:rPr>
          <w:rFonts w:cs="Arial;sans-serif" w:ascii="Arial;sans-serif" w:hAnsi="Arial;sans-serif"/>
          <w:color w:val="00000A"/>
          <w:sz w:val="22"/>
          <w:szCs w:val="22"/>
        </w:rPr>
        <w:t xml:space="preserve"> de julho de 2019.</w:t>
      </w:r>
    </w:p>
    <w:p>
      <w:pPr>
        <w:pStyle w:val="Corpodetexto"/>
        <w:spacing w:before="0" w:after="0"/>
        <w:rPr>
          <w:rFonts w:ascii="Arial;sans-serif" w:hAnsi="Arial;sans-serif" w:cs="Arial;sans-serif"/>
          <w:sz w:val="22"/>
          <w:szCs w:val="22"/>
        </w:rPr>
      </w:pPr>
      <w:r>
        <w:rPr>
          <w:rFonts w:cs="Arial;sans-serif" w:ascii="Arial;sans-serif" w:hAnsi="Arial;sans-serif"/>
          <w:sz w:val="22"/>
          <w:szCs w:val="22"/>
        </w:rPr>
      </w:r>
    </w:p>
    <w:p>
      <w:pPr>
        <w:pStyle w:val="Corpodetexto"/>
        <w:spacing w:before="0" w:after="0"/>
        <w:rPr/>
      </w:pPr>
      <w:r>
        <w:rPr>
          <w:rFonts w:eastAsia="Times New Roman" w:cs="Times New Roman"/>
        </w:rPr>
        <w:t xml:space="preserve">                                        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Nelson Milech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Vice-prefeito no exercício do 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Cargo d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Prefeito</w:t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;sans-serif"/>
          <w:color w:val="00000A"/>
          <w:sz w:val="24"/>
          <w:szCs w:val="24"/>
        </w:rPr>
      </w:pPr>
      <w:r>
        <w:rPr>
          <w:rFonts w:cs="Arial;sans-serif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LibreOffice/5.4.7.2$Windows_X86_64 LibreOffice_project/c838ef25c16710f8838b1faec480ebba495259d0</Application>
  <Pages>2</Pages>
  <Words>281</Words>
  <Characters>1516</Characters>
  <CharactersWithSpaces>1826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2019-06-17T18:19:00Z</dcterms:created>
  <dc:creator>Adm-04</dc:creator>
  <dc:description/>
  <dc:language>pt-BR</dc:language>
  <cp:lastModifiedBy/>
  <cp:lastPrinted>2019-06-17T19:12:00Z</cp:lastPrinted>
  <dcterms:modified xsi:type="dcterms:W3CDTF">2019-07-05T10:20:43Z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