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;sans-serif" w:ascii="Arial;sans-serif" w:hAnsi="Arial;sans-serif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2.034, de 22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spacing w:lineRule="auto" w:line="240" w:before="0" w:after="240"/>
        <w:ind w:left="3969" w:right="0" w:firstLine="567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00000A"/>
          <w:sz w:val="24"/>
          <w:szCs w:val="24"/>
        </w:rPr>
        <w:t xml:space="preserve">Autoriza o Município de Arroio do Padre, Poder Executivo, a contratar servidor por tempo determinado, </w:t>
      </w:r>
      <w:r>
        <w:rPr>
          <w:rFonts w:cs="Arial" w:ascii="Arial" w:hAnsi="Arial"/>
          <w:color w:val="00000A"/>
          <w:sz w:val="24"/>
          <w:szCs w:val="24"/>
        </w:rPr>
        <w:t>para atender a necessidade de excepcional interesse público para o Cargo de Pedreiro.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lang w:eastAsia="en-US"/>
        </w:rPr>
      </w:pPr>
      <w:r>
        <w:rPr>
          <w:sz w:val="24"/>
          <w:szCs w:val="24"/>
        </w:rPr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1º</w:t>
      </w:r>
      <w:r>
        <w:rPr>
          <w:rFonts w:cs="Arial" w:ascii="Arial" w:hAnsi="Arial"/>
          <w:sz w:val="24"/>
          <w:szCs w:val="24"/>
          <w:lang w:eastAsia="en-US"/>
        </w:rPr>
        <w:t xml:space="preserve"> A presente Lei trata da contratação por tempo determinado de servidor que desempenhará suas funções junto a Secretaria Municipal de Obras, Infraestrutura e Saneamento.</w:t>
      </w:r>
    </w:p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2º</w:t>
      </w:r>
      <w:r>
        <w:rPr>
          <w:rFonts w:cs="Arial" w:ascii="Arial" w:hAnsi="Arial"/>
          <w:sz w:val="24"/>
          <w:szCs w:val="24"/>
          <w:lang w:eastAsia="en-US"/>
        </w:rPr>
        <w:t xml:space="preserve"> Fica autorizado o Município de Arroio do Padre, Poder Executivo, </w:t>
      </w:r>
      <w:r>
        <w:rPr>
          <w:rFonts w:cs="Arial" w:ascii="Arial" w:hAnsi="Arial"/>
          <w:sz w:val="24"/>
          <w:szCs w:val="24"/>
        </w:rPr>
        <w:t>com base no inciso IX, art. 37 da Constituição Federal,</w:t>
      </w:r>
      <w:r>
        <w:rPr>
          <w:rFonts w:cs="Arial" w:ascii="Arial" w:hAnsi="Arial"/>
          <w:sz w:val="24"/>
          <w:szCs w:val="24"/>
          <w:lang w:eastAsia="en-US"/>
        </w:rPr>
        <w:t xml:space="preserve"> a contratar servidor pelo prazo de 06 (seis) meses, prorrogável por igual período, a fim de desempenhar a função de Pedreiro, junto a Secretaria Municipal de Obras, Infraestrutura e Saneamento, conforme quadro abaixo: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</w:t>
      </w:r>
      <w:r>
        <w:rPr>
          <w:rFonts w:cs="Arial" w:ascii="Arial" w:hAnsi="Arial"/>
          <w:sz w:val="24"/>
          <w:szCs w:val="24"/>
          <w:lang w:eastAsia="en-US"/>
        </w:rPr>
        <w:t>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3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6955" cy="54419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544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643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48"/>
                              <w:gridCol w:w="2408"/>
                              <w:gridCol w:w="2584"/>
                              <w:gridCol w:w="2703"/>
                            </w:tblGrid>
                            <w:tr>
                              <w:trPr/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Pedreiro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  <w:t>1.306,21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1.65pt;height:42.85pt;mso-wrap-distance-left:7.05pt;mso-wrap-distance-right:7.05pt;mso-wrap-distance-top:0pt;mso-wrap-distance-bottom:10pt;margin-top:4.75pt;mso-position-vertical-relative:text;margin-left:-0.25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9643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48"/>
                        <w:gridCol w:w="2408"/>
                        <w:gridCol w:w="2584"/>
                        <w:gridCol w:w="2703"/>
                      </w:tblGrid>
                      <w:tr>
                        <w:trPr/>
                        <w:tc>
                          <w:tcPr>
                            <w:tcW w:w="19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9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Pedreiro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 xml:space="preserve">R$ </w:t>
                            </w:r>
                            <w:r>
                              <w:rPr>
                                <w:rFonts w:cs="Arial" w:ascii="Arial" w:hAnsi="Arial"/>
                                <w:bCs/>
                              </w:rPr>
                              <w:t>1.306,21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40 horas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3º</w:t>
      </w:r>
      <w:r>
        <w:rPr>
          <w:rFonts w:cs="Arial" w:ascii="Arial" w:hAnsi="Arial"/>
          <w:sz w:val="24"/>
          <w:szCs w:val="24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4º</w:t>
      </w:r>
      <w:r>
        <w:rPr>
          <w:rFonts w:cs="Arial" w:ascii="Arial" w:hAnsi="Arial"/>
          <w:sz w:val="24"/>
          <w:szCs w:val="24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5º</w:t>
      </w:r>
      <w:r>
        <w:rPr>
          <w:rFonts w:cs="Arial" w:ascii="Arial" w:hAnsi="Arial"/>
          <w:sz w:val="24"/>
          <w:szCs w:val="24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6º</w:t>
      </w:r>
      <w:r>
        <w:rPr>
          <w:rFonts w:cs="Arial" w:ascii="Arial" w:hAnsi="Arial"/>
          <w:sz w:val="24"/>
          <w:szCs w:val="24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Obras, Infraestrutura e Saneamento a execução e fiscalização do contrato celebrado.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7º</w:t>
      </w:r>
      <w:r>
        <w:rPr>
          <w:rFonts w:cs="Arial" w:ascii="Arial" w:hAnsi="Arial"/>
          <w:sz w:val="24"/>
          <w:szCs w:val="24"/>
          <w:lang w:eastAsia="en-US"/>
        </w:rPr>
        <w:t xml:space="preserve"> Ao servidor contratado por esta Lei, aplicar-se-á o Regime Geral de Previdência Social.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8º</w:t>
      </w:r>
      <w:r>
        <w:rPr>
          <w:rFonts w:cs="Arial" w:ascii="Arial" w:hAnsi="Arial"/>
          <w:sz w:val="24"/>
          <w:szCs w:val="24"/>
          <w:lang w:eastAsia="en-US"/>
        </w:rPr>
        <w:t xml:space="preserve"> As despesas decorrentes desta Lei correrão por conta de dotações orçamentárias específicas.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9º</w:t>
      </w:r>
      <w:r>
        <w:rPr>
          <w:rFonts w:cs="Arial" w:ascii="Arial" w:hAnsi="Arial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do Padre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, </w:t>
      </w:r>
      <w:r>
        <w:rPr>
          <w:rFonts w:cs="Arial;sans-serif" w:ascii="Arial;sans-serif" w:hAnsi="Arial;sans-serif"/>
          <w:color w:val="00000A"/>
          <w:sz w:val="24"/>
          <w:szCs w:val="24"/>
        </w:rPr>
        <w:t>22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abril de 2019.</w:t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eastAsia="Calibri" w:cs="Arial"/>
          <w:color w:val="00000A"/>
          <w:sz w:val="24"/>
          <w:szCs w:val="24"/>
          <w:lang w:eastAsia="en-US"/>
        </w:rPr>
      </w:pPr>
      <w:r>
        <w:rPr>
          <w:rFonts w:eastAsia="Calibri" w:cs="Arial" w:ascii="Arial" w:hAnsi="Arial"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00000A"/>
          <w:sz w:val="24"/>
          <w:szCs w:val="24"/>
          <w:lang w:eastAsia="en-US"/>
        </w:rPr>
      </w:pPr>
      <w:r>
        <w:rPr>
          <w:rFonts w:cs="Arial" w:ascii="Arial" w:hAnsi="Arial"/>
          <w:b/>
          <w:color w:val="00000A"/>
          <w:sz w:val="24"/>
          <w:szCs w:val="24"/>
          <w:lang w:eastAsia="en-U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2626995</wp:posOffset>
            </wp:positionH>
            <wp:positionV relativeFrom="paragraph">
              <wp:posOffset>64135</wp:posOffset>
            </wp:positionV>
            <wp:extent cx="951865" cy="1099820"/>
            <wp:effectExtent l="0" t="0" r="0" b="0"/>
            <wp:wrapSquare wrapText="bothSides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;sans-serif" w:ascii="Arial;sans-serif" w:hAnsi="Arial;sans-serif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  <w:lang w:eastAsia="en-U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  <w:lang w:eastAsia="en-U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 xml:space="preserve">ANEXO I – </w:t>
      </w:r>
      <w:r>
        <w:rPr>
          <w:rFonts w:cs="Arial" w:ascii="Arial" w:hAnsi="Arial"/>
          <w:b/>
          <w:sz w:val="24"/>
          <w:szCs w:val="24"/>
          <w:lang w:eastAsia="en-US"/>
        </w:rPr>
        <w:t>Lei 2.034</w:t>
      </w:r>
      <w:r>
        <w:rPr>
          <w:rFonts w:cs="Arial" w:ascii="Arial" w:hAnsi="Arial"/>
          <w:b/>
          <w:sz w:val="24"/>
          <w:szCs w:val="24"/>
          <w:lang w:eastAsia="en-US"/>
        </w:rPr>
        <w:t>/2019</w:t>
      </w:r>
    </w:p>
    <w:p>
      <w:pPr>
        <w:pStyle w:val="Ttulo7"/>
        <w:numPr>
          <w:ilvl w:val="6"/>
          <w:numId w:val="1"/>
        </w:numPr>
        <w:spacing w:lineRule="auto" w:line="240" w:before="0" w:after="20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i w:val="false"/>
          <w:color w:val="00000A"/>
          <w:sz w:val="24"/>
          <w:szCs w:val="24"/>
        </w:rPr>
        <w:t>CATEGORIA FUNCIONAL: PEDREIRO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ab/>
        <w:t xml:space="preserve"> </w:t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Descrição Sintética</w:t>
      </w:r>
      <w:r>
        <w:rPr>
          <w:rFonts w:cs="Arial" w:ascii="Arial" w:hAnsi="Arial"/>
          <w:sz w:val="24"/>
          <w:szCs w:val="24"/>
        </w:rPr>
        <w:t>: Executar trabalhos de alvenaria, concreto e outros materiais para construção e reconstrução de obras e edifícios públicos.</w:t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>Descrição Analítica</w:t>
      </w:r>
      <w:r>
        <w:rPr>
          <w:rFonts w:cs="Arial" w:ascii="Arial" w:hAnsi="Arial"/>
          <w:sz w:val="24"/>
          <w:szCs w:val="24"/>
        </w:rPr>
        <w:t>: Trabalhar com instrumentos de nivelamento e prumo; construir e preparar alicerces, paredes, muros, pisos e similares; preparar ou orientar a preparação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responsabilizar-se pelo material utilizado; calcular orçamento e organizar pedidos de material; responsabilizar-se por equipes auxiliares necessárias a execução das atividades próprias do cargo; executar tarefas afins.</w:t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Especial: Sujeito a uso de uniforme e equipamentos de proteção individual.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Requisitos para Provimento: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Ensino Fundamental incompleto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LibreOffice/5.4.7.2$Windows_X86_64 LibreOffice_project/c838ef25c16710f8838b1faec480ebba495259d0</Application>
  <Pages>3</Pages>
  <Words>631</Words>
  <Characters>3640</Characters>
  <CharactersWithSpaces>4242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2019-03-06T12:06:00Z</dcterms:created>
  <dc:creator>Adm-04</dc:creator>
  <dc:description/>
  <dc:language>pt-BR</dc:language>
  <cp:lastModifiedBy/>
  <cp:lastPrinted>2019-04-01T17:01:00Z</cp:lastPrinted>
  <dcterms:modified xsi:type="dcterms:W3CDTF">2019-04-22T13:47:20Z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