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2.033, de 22 de abril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496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Atribui gratificação ao servidor responsável pela Junta de Serviços Militar.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A presente lei atribui gratificação ao servidor responsável pela Junta Militar do município de Arroio do Padre.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É atribuída, ao servidor designado como responsável pela Junta Militar, gratificação mensal no valor de R$ 200,00 (duzentos reais).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 xml:space="preserve">Art. 3º </w:t>
      </w:r>
      <w:r>
        <w:rPr>
          <w:rFonts w:cs="Arial" w:ascii="Arial" w:hAnsi="Arial"/>
          <w:sz w:val="24"/>
          <w:szCs w:val="24"/>
        </w:rPr>
        <w:t>A gratificação de que trata o art. 1º será paga enquanto 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servidor estiver designado como responsável pela Junta Militar” e nos afastamentos legais.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sz w:val="24"/>
          <w:szCs w:val="24"/>
        </w:rPr>
        <w:t xml:space="preserve"> As despesas decorrentes desta Lei serão suportadas por dotações orçamentárias próprias consignadas anualmente ao orçamento municipal vigente.</w:t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5º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Arroio do Padre, 22 </w:t>
      </w:r>
      <w:r>
        <w:rPr>
          <w:rFonts w:cs="Arial;sans-serif" w:ascii="Arial;sans-serif" w:hAnsi="Arial;sans-serif"/>
          <w:color w:val="00000A"/>
          <w:sz w:val="24"/>
          <w:szCs w:val="24"/>
        </w:rPr>
        <w:t>de abril de 2019.</w:t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color w:val="00000A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color w:val="00000A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color w:val="00000A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color w:val="00000A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993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LibreOffice/5.4.7.2$Windows_X86_64 LibreOffice_project/c838ef25c16710f8838b1faec480ebba495259d0</Application>
  <Pages>1</Pages>
  <Words>169</Words>
  <Characters>910</Characters>
  <CharactersWithSpaces>1067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2019-03-22T14:48:00Z</dcterms:created>
  <dc:creator>Adm-04</dc:creator>
  <dc:description/>
  <dc:language>pt-BR</dc:language>
  <cp:lastModifiedBy/>
  <cp:lastPrinted>2019-03-15T17:16:00Z</cp:lastPrinted>
  <dcterms:modified xsi:type="dcterms:W3CDTF">2019-04-22T13:39:36Z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