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caps/>
        </w:rPr>
      </w:pPr>
      <w:r>
        <w:rPr>
          <w:rFonts w:cs="Arial;sans-serif" w:ascii="Arial;sans-serif" w:hAnsi="Arial;sans-serif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bCs/>
          <w:color w:val="00000A"/>
          <w:u w:val="single"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2.030, de 22 de abril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3969" w:right="-1" w:firstLine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Dispõe sobre a inclusão de nova ação no anexo I - Programas, da Lei Municipal N° 1.861, de 28 de junho de 2017, Plano Plurianual 2018/2021.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eastAsia="Calibri" w:cs="Arial"/>
          <w:b/>
          <w:b/>
          <w:bCs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Art. 1</w:t>
      </w:r>
      <w:r>
        <w:rPr>
          <w:rFonts w:eastAsia="Calibri" w:cs="Arial" w:ascii="Arial" w:hAnsi="Arial"/>
          <w:sz w:val="24"/>
          <w:szCs w:val="24"/>
          <w:lang w:eastAsia="en-US"/>
        </w:rPr>
        <w:t>° Fica criado a ação no anexo I - Programas, da Lei Municipal N° 1.861, de 28 de junho de 2017, que institui o Plano Plurianual 2018/2021, conforme o anexo I desta Lei.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 xml:space="preserve">Servirão de cobertura para as despesas decorrentes da criação da nova ação, recursos financeiros provenientes do superávit financeiro verificado no exercício de 2018, no valor de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R$ 58.000,00 (cinquenta e oito mil reais) na Fonte de Recurso: 0020 – MDE.</w:t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Art. 3°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>Arroio do Padre, 22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 de abril de 2019.</w:t>
      </w:r>
    </w:p>
    <w:p>
      <w:pPr>
        <w:pStyle w:val="Corpodetexto"/>
        <w:spacing w:lineRule="auto" w:line="240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Arial;sans-serif" w:ascii="Arial;sans-serif" w:hAnsi="Arial;sans-serif"/>
          <w:i/>
          <w:sz w:val="24"/>
          <w:szCs w:val="24"/>
        </w:rPr>
        <w:t>__________________________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;sans-serif" w:cs="Arial;sans-serif" w:ascii="Arial;sans-serif" w:hAnsi="Arial;sans-serif"/>
          <w:sz w:val="24"/>
          <w:szCs w:val="24"/>
        </w:rPr>
        <w:t xml:space="preserve">    </w:t>
      </w:r>
      <w:r>
        <w:rPr>
          <w:rFonts w:eastAsia="Arial;sans-serif" w:cs="Arial;sans-serif" w:ascii="Arial;sans-serif" w:hAnsi="Arial;sans-serif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;sans-serif" w:cs="Arial;sans-serif" w:ascii="Arial;sans-serif" w:hAnsi="Arial;sans-serif"/>
          <w:sz w:val="24"/>
          <w:szCs w:val="24"/>
        </w:rPr>
        <w:t xml:space="preserve">    </w:t>
      </w:r>
      <w:r>
        <w:rPr>
          <w:rFonts w:eastAsia="Arial;sans-serif" w:cs="Arial;sans-serif" w:ascii="Arial;sans-serif" w:hAnsi="Arial;sans-serif"/>
          <w:sz w:val="24"/>
          <w:szCs w:val="24"/>
        </w:rPr>
        <w:t>P</w:t>
      </w:r>
      <w:r>
        <w:rPr>
          <w:rFonts w:eastAsia="Arial;sans-serif" w:cs="Arial;sans-serif" w:ascii="Arial;sans-serif" w:hAnsi="Arial;sans-serif"/>
          <w:sz w:val="24"/>
          <w:szCs w:val="24"/>
        </w:rPr>
        <w:t>refeito Municipal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color w:val="00000A"/>
          <w:sz w:val="24"/>
          <w:szCs w:val="24"/>
          <w:lang w:eastAsia="en-US"/>
        </w:rPr>
      </w:pPr>
      <w:r>
        <w:rPr>
          <w:rFonts w:cs="Arial" w:ascii="Arial" w:hAnsi="Arial"/>
          <w:b/>
          <w:color w:val="00000A"/>
          <w:sz w:val="24"/>
          <w:szCs w:val="24"/>
          <w:lang w:eastAsia="en-US"/>
        </w:rPr>
      </w:r>
    </w:p>
    <w:p>
      <w:pPr>
        <w:pStyle w:val="Normal"/>
        <w:spacing w:lineRule="auto" w:line="24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ANEXO I – </w:t>
      </w:r>
      <w:r>
        <w:rPr>
          <w:rFonts w:eastAsia="Calibri" w:cs="Arial" w:ascii="Arial" w:hAnsi="Arial"/>
          <w:b/>
          <w:sz w:val="24"/>
          <w:szCs w:val="24"/>
          <w:lang w:eastAsia="en-US"/>
        </w:rPr>
        <w:t>LEI 2.030</w:t>
      </w:r>
      <w:r>
        <w:rPr>
          <w:rFonts w:eastAsia="Calibri" w:cs="Arial" w:ascii="Arial" w:hAnsi="Arial"/>
          <w:b/>
          <w:sz w:val="24"/>
          <w:szCs w:val="24"/>
          <w:lang w:eastAsia="en-US"/>
        </w:rPr>
        <w:t>/2019</w:t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72" w:type="dxa"/>
        <w:jc w:val="left"/>
        <w:tblInd w:w="1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632"/>
        <w:gridCol w:w="1144"/>
        <w:gridCol w:w="1929"/>
        <w:gridCol w:w="964"/>
        <w:gridCol w:w="943"/>
        <w:gridCol w:w="962"/>
        <w:gridCol w:w="595"/>
        <w:gridCol w:w="1"/>
        <w:gridCol w:w="692"/>
        <w:gridCol w:w="595"/>
        <w:gridCol w:w="595"/>
        <w:gridCol w:w="710"/>
        <w:gridCol w:w="10"/>
      </w:tblGrid>
      <w:tr>
        <w:trPr>
          <w:trHeight w:val="271" w:hRule="atLeast"/>
        </w:trPr>
        <w:tc>
          <w:tcPr>
            <w:tcW w:w="1776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>
        <w:trPr>
          <w:trHeight w:val="255" w:hRule="atLeast"/>
        </w:trPr>
        <w:tc>
          <w:tcPr>
            <w:tcW w:w="1776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86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>
        <w:trPr>
          <w:trHeight w:val="23" w:hRule="exact"/>
        </w:trPr>
        <w:tc>
          <w:tcPr>
            <w:tcW w:w="63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144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986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705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C0C0C0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465" w:type="dxa"/>
            <w:gridSpan w:val="5"/>
            <w:tcBorders>
              <w:top w:val="single" w:sz="8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C0C0C0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602" w:type="dxa"/>
            <w:gridSpan w:val="4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C0C0C0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>
        <w:trPr>
          <w:trHeight w:val="255" w:hRule="atLeast"/>
        </w:trPr>
        <w:tc>
          <w:tcPr>
            <w:tcW w:w="3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IDEB Anos Iniciais</w:t>
            </w:r>
          </w:p>
        </w:tc>
        <w:tc>
          <w:tcPr>
            <w:tcW w:w="34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5.0</w:t>
            </w:r>
          </w:p>
        </w:tc>
        <w:tc>
          <w:tcPr>
            <w:tcW w:w="25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</w:t>
            </w:r>
          </w:p>
        </w:tc>
      </w:tr>
      <w:tr>
        <w:trPr>
          <w:trHeight w:val="255" w:hRule="atLeast"/>
        </w:trPr>
        <w:tc>
          <w:tcPr>
            <w:tcW w:w="3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IDEB Anos finais</w:t>
            </w:r>
          </w:p>
        </w:tc>
        <w:tc>
          <w:tcPr>
            <w:tcW w:w="34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3.9</w:t>
            </w:r>
          </w:p>
        </w:tc>
        <w:tc>
          <w:tcPr>
            <w:tcW w:w="25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5.7</w:t>
            </w:r>
          </w:p>
        </w:tc>
      </w:tr>
      <w:tr>
        <w:trPr>
          <w:trHeight w:val="255" w:hRule="atLeast"/>
        </w:trPr>
        <w:tc>
          <w:tcPr>
            <w:tcW w:w="632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40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969696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>
        <w:trPr>
          <w:trHeight w:val="23" w:hRule="exact"/>
        </w:trPr>
        <w:tc>
          <w:tcPr>
            <w:tcW w:w="632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0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9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969696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</w:r>
          </w:p>
        </w:tc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6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  <w:insideH w:val="single" w:sz="4" w:space="0" w:color="000001"/>
              <w:insideV w:val="single" w:sz="8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511" w:hRule="atLeast"/>
        </w:trPr>
        <w:tc>
          <w:tcPr>
            <w:tcW w:w="632" w:type="dxa"/>
            <w:tcBorders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4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1.426 - Construção de Cobertura e Melhorias na Escola Benjamin Constant</w:t>
            </w:r>
          </w:p>
        </w:tc>
        <w:tc>
          <w:tcPr>
            <w:tcW w:w="943" w:type="dxa"/>
            <w:tcBorders>
              <w:left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5" w:type="dxa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632" w:type="dxa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Construção / Melhorias Realizadas</w:t>
            </w:r>
          </w:p>
        </w:tc>
        <w:tc>
          <w:tcPr>
            <w:tcW w:w="943" w:type="dxa"/>
            <w:tcBorders>
              <w:left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58.000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58.000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943" w:type="dxa"/>
            <w:tcBorders>
              <w:left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left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632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Sub-função:</w:t>
            </w:r>
          </w:p>
        </w:tc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361 - Ensino Fundamental</w:t>
            </w:r>
          </w:p>
        </w:tc>
        <w:tc>
          <w:tcPr>
            <w:tcW w:w="943" w:type="dxa"/>
            <w:tcBorders>
              <w:left w:val="single" w:sz="4" w:space="0" w:color="000001"/>
              <w:bottom w:val="single" w:sz="8" w:space="0" w:color="00000A"/>
              <w:insideH w:val="single" w:sz="8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C0C0C0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>
        <w:trPr>
          <w:trHeight w:val="527" w:hRule="atLeast"/>
        </w:trPr>
        <w:tc>
          <w:tcPr>
            <w:tcW w:w="9772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(*)  Tipo: </w:t>
            </w:r>
            <w:r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 </w:t>
            </w:r>
          </w:p>
        </w:tc>
      </w:tr>
    </w:tbl>
    <w:p>
      <w:pPr>
        <w:pStyle w:val="Normal"/>
        <w:spacing w:before="0" w:after="200"/>
        <w:ind w:left="3969" w:right="0" w:firstLine="283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LibreOffice/5.4.7.2$Windows_X86_64 LibreOffice_project/c838ef25c16710f8838b1faec480ebba495259d0</Application>
  <Pages>2</Pages>
  <Words>375</Words>
  <Characters>2002</Characters>
  <CharactersWithSpaces>2393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2019-04-05T14:36:00Z</dcterms:created>
  <dc:creator>Adm-04</dc:creator>
  <dc:description/>
  <dc:language>pt-BR</dc:language>
  <cp:lastModifiedBy/>
  <cp:lastPrinted>2019-02-11T15:08:00Z</cp:lastPrinted>
  <dcterms:modified xsi:type="dcterms:W3CDTF">2019-04-22T13:21:32Z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