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00" w:lineRule="atLeast"/>
        <w:jc w:val="center"/>
        <w:rPr/>
      </w:pPr>
      <w:r>
        <w:rPr/>
        <w:drawing>
          <wp:inline distB="0" distL="0" distR="0" distT="0">
            <wp:extent cx="965835" cy="1294765"/>
            <wp:effectExtent b="0" l="0" r="0" t="0"/>
            <wp:docPr descr="C:\Users\Andiara\Documents\Brasão_Arroio_do_Padre.jpg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Users\Andiara\Documents\Brasão_Arroio_do_Padre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29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</w:pPr>
      <w:r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  <w:t>PREFEITURA DE ARROIO DO PADRE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</w:pPr>
      <w:r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  <w:t>ESTADO DO RIO GRANDE DO SUL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</w:pPr>
      <w:r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  <w:t>GABINETE DO PREFEITO</w:t>
      </w:r>
    </w:p>
    <w:p>
      <w:pPr>
        <w:pStyle w:val="style28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  <w:sz w:val="21"/>
          <w:szCs w:val="21"/>
        </w:rPr>
      </w:pPr>
      <w:r>
        <w:rPr>
          <w:rFonts w:ascii="Arial" w:cs="Arial" w:hAnsi="Arial"/>
          <w:b/>
          <w:bCs/>
          <w:sz w:val="21"/>
          <w:szCs w:val="21"/>
        </w:rPr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Arial" w:cs="Arial" w:hAnsi="Arial"/>
          <w:b/>
          <w:sz w:val="21"/>
          <w:szCs w:val="21"/>
          <w:u w:val="single"/>
        </w:rPr>
      </w:pPr>
      <w:r>
        <w:rPr>
          <w:rFonts w:ascii="Arial" w:cs="Arial" w:hAnsi="Arial"/>
          <w:b/>
          <w:sz w:val="21"/>
          <w:szCs w:val="21"/>
          <w:u w:val="single"/>
        </w:rPr>
        <w:t>Lei 1.508, de 18</w:t>
      </w:r>
      <w:r>
        <w:rPr>
          <w:rFonts w:ascii="Arial" w:cs="Arial" w:hAnsi="Arial"/>
          <w:b/>
          <w:sz w:val="21"/>
          <w:szCs w:val="21"/>
          <w:u w:val="single"/>
        </w:rPr>
        <w:t xml:space="preserve"> de junho de 2014.</w:t>
      </w:r>
    </w:p>
    <w:p>
      <w:pPr>
        <w:pStyle w:val="style0"/>
        <w:spacing w:after="0" w:before="0" w:line="100" w:lineRule="atLeast"/>
        <w:ind w:firstLine="708" w:left="4248" w:right="0"/>
        <w:contextualSpacing w:val="false"/>
        <w:jc w:val="both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sz w:val="21"/>
          <w:szCs w:val="21"/>
        </w:rPr>
        <w:t xml:space="preserve">Altera as Seções I e VI da Lei Municipal Nº 833, de 13 de fevereiro de 2009. </w:t>
      </w:r>
    </w:p>
    <w:p>
      <w:pPr>
        <w:pStyle w:val="style0"/>
        <w:rPr>
          <w:rFonts w:ascii="Arial" w:cs="Arial" w:eastAsia="Calibri" w:hAnsi="Arial"/>
          <w:bCs/>
          <w:sz w:val="21"/>
          <w:szCs w:val="21"/>
          <w:lang w:eastAsia="en-US"/>
        </w:rPr>
      </w:pPr>
      <w:r>
        <w:rPr>
          <w:rFonts w:ascii="Arial" w:cs="Arial" w:eastAsia="Calibri" w:hAnsi="Arial"/>
          <w:bCs/>
          <w:sz w:val="21"/>
          <w:szCs w:val="21"/>
          <w:lang w:eastAsia="en-US"/>
        </w:rPr>
        <w:tab/>
        <w:tab/>
      </w:r>
      <w:r>
        <w:rPr>
          <w:rFonts w:ascii="Arial" w:cs="Arial" w:eastAsia="Calibri" w:hAnsi="Arial"/>
          <w:bCs/>
          <w:sz w:val="21"/>
          <w:szCs w:val="21"/>
          <w:lang w:eastAsia="en-US"/>
        </w:rPr>
        <w:t>O Prefeito Municipal de Arroio do Padre, Sr. Leonir Aldrighi Baschi, faz saber que a Câmara de Vereadores aprovou e eu sanciono e promulgo a seguinte Lei,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  <w:bCs/>
          <w:sz w:val="21"/>
          <w:szCs w:val="21"/>
        </w:rPr>
      </w:pPr>
      <w:r>
        <w:rPr>
          <w:rFonts w:ascii="Arial" w:cs="Arial" w:hAnsi="Arial"/>
          <w:b/>
          <w:bCs/>
          <w:sz w:val="21"/>
          <w:szCs w:val="21"/>
        </w:rPr>
        <w:t xml:space="preserve">Art. 1º </w:t>
      </w:r>
      <w:r>
        <w:rPr>
          <w:rFonts w:ascii="Arial" w:cs="Arial" w:hAnsi="Arial"/>
          <w:bCs/>
          <w:sz w:val="21"/>
          <w:szCs w:val="21"/>
        </w:rPr>
        <w:t xml:space="preserve">A presente Lei altera </w:t>
      </w:r>
      <w:r>
        <w:rPr>
          <w:rFonts w:ascii="Arial" w:cs="Arial" w:hAnsi="Arial"/>
          <w:sz w:val="21"/>
          <w:szCs w:val="21"/>
        </w:rPr>
        <w:t xml:space="preserve">as Seções I e </w:t>
      </w:r>
      <w:r>
        <w:rPr>
          <w:rFonts w:ascii="Arial" w:cs="Arial" w:hAnsi="Arial"/>
          <w:b w:val="false"/>
          <w:bCs w:val="false"/>
          <w:sz w:val="21"/>
          <w:szCs w:val="21"/>
          <w:u w:val="none"/>
        </w:rPr>
        <w:t>VI da</w:t>
      </w:r>
      <w:r>
        <w:rPr>
          <w:rFonts w:ascii="Arial" w:cs="Arial" w:hAnsi="Arial"/>
          <w:bCs/>
          <w:sz w:val="21"/>
          <w:szCs w:val="21"/>
        </w:rPr>
        <w:t xml:space="preserve"> Lei Municipal Nº 833, de 13 de fevereiro de 2009, que dispõe sobre estrutura organizacional do Gabinete do Prefeito e órgãos de assessoramento e controle e da Secretaria de Obras, Infraestrutura e Saneamento.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sz w:val="21"/>
          <w:szCs w:val="21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hAnsi="Arial"/>
          <w:bCs/>
          <w:sz w:val="21"/>
          <w:szCs w:val="21"/>
        </w:rPr>
      </w:pPr>
      <w:r>
        <w:rPr>
          <w:rFonts w:ascii="Arial" w:cs="Arial" w:hAnsi="Arial"/>
          <w:b/>
          <w:bCs/>
          <w:sz w:val="21"/>
          <w:szCs w:val="21"/>
        </w:rPr>
        <w:t xml:space="preserve">Art. 2º </w:t>
      </w:r>
      <w:r>
        <w:rPr>
          <w:rFonts w:ascii="Arial" w:cs="Arial" w:hAnsi="Arial"/>
          <w:bCs/>
          <w:sz w:val="21"/>
          <w:szCs w:val="21"/>
        </w:rPr>
        <w:t>A Seção I, da Lei Municipal Nº 833, de 13 de fevereiro de 2009 passa a ter a seguinte redação:</w:t>
      </w:r>
    </w:p>
    <w:p>
      <w:pPr>
        <w:pStyle w:val="style0"/>
        <w:spacing w:after="0" w:before="0" w:line="100" w:lineRule="atLeast"/>
        <w:ind w:hanging="0" w:left="851" w:right="0"/>
        <w:contextualSpacing w:val="false"/>
        <w:jc w:val="center"/>
        <w:rPr>
          <w:rFonts w:ascii="Arial" w:cs="Arial" w:hAnsi="Arial"/>
          <w:b/>
          <w:bCs/>
          <w:sz w:val="21"/>
          <w:szCs w:val="21"/>
        </w:rPr>
      </w:pPr>
      <w:r>
        <w:rPr>
          <w:rFonts w:ascii="Arial" w:cs="Arial" w:hAnsi="Arial"/>
          <w:b/>
          <w:bCs/>
          <w:sz w:val="21"/>
          <w:szCs w:val="21"/>
        </w:rPr>
        <w:t>Seção I</w:t>
      </w:r>
    </w:p>
    <w:p>
      <w:pPr>
        <w:pStyle w:val="style0"/>
        <w:spacing w:after="0" w:before="0" w:line="100" w:lineRule="atLeast"/>
        <w:ind w:hanging="0" w:left="851" w:right="0"/>
        <w:contextualSpacing w:val="false"/>
        <w:jc w:val="center"/>
        <w:rPr>
          <w:rFonts w:ascii="Arial" w:cs="Arial" w:hAnsi="Arial"/>
          <w:b/>
          <w:bCs/>
          <w:sz w:val="21"/>
          <w:szCs w:val="21"/>
        </w:rPr>
      </w:pPr>
      <w:r>
        <w:rPr>
          <w:rFonts w:ascii="Arial" w:cs="Arial" w:hAnsi="Arial"/>
          <w:b/>
          <w:bCs/>
          <w:sz w:val="21"/>
          <w:szCs w:val="21"/>
        </w:rPr>
        <w:t>Do Gabinete do Prefeito</w:t>
      </w:r>
    </w:p>
    <w:p>
      <w:pPr>
        <w:pStyle w:val="style0"/>
        <w:spacing w:after="0" w:before="0" w:line="100" w:lineRule="atLeast"/>
        <w:ind w:hanging="0" w:left="851" w:right="0"/>
        <w:contextualSpacing w:val="false"/>
        <w:jc w:val="center"/>
        <w:rPr>
          <w:rFonts w:ascii="Arial" w:cs="Arial" w:hAnsi="Arial"/>
          <w:b/>
          <w:bCs/>
          <w:sz w:val="21"/>
          <w:szCs w:val="21"/>
        </w:rPr>
      </w:pPr>
      <w:r>
        <w:rPr>
          <w:rFonts w:ascii="Arial" w:cs="Arial" w:hAnsi="Arial"/>
          <w:b/>
          <w:bCs/>
          <w:sz w:val="21"/>
          <w:szCs w:val="21"/>
        </w:rPr>
      </w:r>
    </w:p>
    <w:p>
      <w:pPr>
        <w:pStyle w:val="style0"/>
        <w:spacing w:after="0" w:before="0" w:line="100" w:lineRule="atLeast"/>
        <w:ind w:hanging="0" w:left="851" w:right="0"/>
        <w:contextualSpacing w:val="false"/>
        <w:jc w:val="both"/>
        <w:rPr>
          <w:rFonts w:ascii="Arial" w:cs="Arial" w:hAnsi="Arial"/>
          <w:bCs/>
          <w:sz w:val="21"/>
          <w:szCs w:val="21"/>
        </w:rPr>
      </w:pPr>
      <w:r>
        <w:rPr>
          <w:rFonts w:ascii="Arial" w:cs="Arial" w:hAnsi="Arial"/>
          <w:b/>
          <w:bCs/>
          <w:sz w:val="21"/>
          <w:szCs w:val="21"/>
        </w:rPr>
        <w:t>Art. 4º</w:t>
      </w:r>
      <w:r>
        <w:rPr>
          <w:rFonts w:ascii="Arial" w:cs="Arial" w:hAnsi="Arial"/>
          <w:bCs/>
          <w:sz w:val="21"/>
          <w:szCs w:val="21"/>
        </w:rPr>
        <w:t xml:space="preserve"> O Gabinete do Prefeito, órgão de deliberação máxima do Poder Executivo, disporá sobre o comando geral do Poder e terá como órgãos de assessoramento e controle:</w:t>
      </w:r>
    </w:p>
    <w:p>
      <w:pPr>
        <w:pStyle w:val="style0"/>
        <w:spacing w:after="0" w:before="0" w:line="100" w:lineRule="atLeast"/>
        <w:ind w:hanging="0" w:left="851" w:right="0"/>
        <w:contextualSpacing w:val="false"/>
        <w:jc w:val="both"/>
        <w:rPr>
          <w:rFonts w:ascii="Arial" w:cs="Arial" w:hAnsi="Arial"/>
          <w:bCs/>
          <w:sz w:val="21"/>
          <w:szCs w:val="21"/>
        </w:rPr>
      </w:pPr>
      <w:r>
        <w:rPr>
          <w:rFonts w:ascii="Arial" w:cs="Arial" w:hAnsi="Arial"/>
          <w:bCs/>
          <w:sz w:val="21"/>
          <w:szCs w:val="21"/>
        </w:rPr>
        <w:t>I- Coordenadoria do Sistema de Controle Interno</w:t>
      </w:r>
    </w:p>
    <w:p>
      <w:pPr>
        <w:pStyle w:val="style0"/>
        <w:spacing w:after="0" w:before="0" w:line="100" w:lineRule="atLeast"/>
        <w:ind w:hanging="0" w:left="851" w:right="0"/>
        <w:contextualSpacing w:val="false"/>
        <w:jc w:val="both"/>
        <w:rPr>
          <w:rFonts w:ascii="Arial" w:cs="Arial" w:hAnsi="Arial"/>
          <w:bCs/>
          <w:sz w:val="21"/>
          <w:szCs w:val="21"/>
        </w:rPr>
      </w:pPr>
      <w:r>
        <w:rPr>
          <w:rFonts w:ascii="Arial" w:cs="Arial" w:hAnsi="Arial"/>
          <w:bCs/>
          <w:sz w:val="21"/>
          <w:szCs w:val="21"/>
        </w:rPr>
        <w:t>II- Assessoria de Gabinete</w:t>
      </w:r>
    </w:p>
    <w:p>
      <w:pPr>
        <w:pStyle w:val="style0"/>
        <w:spacing w:after="0" w:before="0" w:line="100" w:lineRule="atLeast"/>
        <w:ind w:hanging="0" w:left="851" w:right="0"/>
        <w:contextualSpacing w:val="false"/>
        <w:jc w:val="both"/>
        <w:rPr>
          <w:rFonts w:ascii="Arial" w:cs="Arial" w:hAnsi="Arial"/>
          <w:bCs/>
          <w:sz w:val="21"/>
          <w:szCs w:val="21"/>
        </w:rPr>
      </w:pPr>
      <w:r>
        <w:rPr>
          <w:rFonts w:ascii="Arial" w:cs="Arial" w:hAnsi="Arial"/>
          <w:bCs/>
          <w:sz w:val="21"/>
          <w:szCs w:val="21"/>
        </w:rPr>
        <w:t>III- Assessoria de Comunicação</w:t>
      </w:r>
    </w:p>
    <w:p>
      <w:pPr>
        <w:pStyle w:val="style0"/>
        <w:spacing w:after="0" w:before="0" w:line="100" w:lineRule="atLeast"/>
        <w:ind w:hanging="0" w:left="851" w:right="0"/>
        <w:contextualSpacing w:val="false"/>
        <w:jc w:val="both"/>
        <w:rPr>
          <w:rFonts w:ascii="Arial" w:cs="Arial" w:hAnsi="Arial"/>
          <w:bCs/>
          <w:sz w:val="21"/>
          <w:szCs w:val="21"/>
        </w:rPr>
      </w:pPr>
      <w:r>
        <w:rPr>
          <w:rFonts w:ascii="Arial" w:cs="Arial" w:hAnsi="Arial"/>
          <w:bCs/>
          <w:sz w:val="21"/>
          <w:szCs w:val="21"/>
        </w:rPr>
        <w:t>IV- A Junta do Serviço Militar</w:t>
      </w:r>
    </w:p>
    <w:p>
      <w:pPr>
        <w:pStyle w:val="style0"/>
        <w:spacing w:after="0" w:before="0" w:line="100" w:lineRule="atLeast"/>
        <w:ind w:hanging="0" w:left="851" w:right="0"/>
        <w:contextualSpacing w:val="false"/>
        <w:jc w:val="both"/>
        <w:rPr>
          <w:rFonts w:ascii="Arial" w:cs="Arial" w:hAnsi="Arial"/>
          <w:bCs/>
          <w:sz w:val="21"/>
          <w:szCs w:val="21"/>
        </w:rPr>
      </w:pPr>
      <w:r>
        <w:rPr>
          <w:rFonts w:ascii="Arial" w:cs="Arial" w:hAnsi="Arial"/>
          <w:bCs/>
          <w:sz w:val="21"/>
          <w:szCs w:val="21"/>
        </w:rPr>
        <w:t xml:space="preserve">V- Procuradoria e Assessoria Jurídica </w:t>
      </w:r>
    </w:p>
    <w:p>
      <w:pPr>
        <w:pStyle w:val="style0"/>
        <w:spacing w:after="0" w:before="0" w:line="100" w:lineRule="atLeast"/>
        <w:ind w:hanging="0" w:left="851" w:right="0"/>
        <w:contextualSpacing w:val="false"/>
        <w:jc w:val="both"/>
        <w:rPr>
          <w:rFonts w:ascii="Arial" w:cs="Arial" w:eastAsia="Calibri" w:hAnsi="Arial"/>
          <w:sz w:val="21"/>
          <w:szCs w:val="21"/>
          <w:lang w:eastAsia="en-US"/>
        </w:rPr>
      </w:pPr>
      <w:r>
        <w:rPr>
          <w:rFonts w:ascii="Arial" w:cs="Arial" w:eastAsia="Calibri" w:hAnsi="Arial"/>
          <w:sz w:val="21"/>
          <w:szCs w:val="21"/>
          <w:lang w:eastAsia="en-US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eastAsia="Calibri" w:hAnsi="Arial"/>
          <w:b/>
          <w:sz w:val="21"/>
          <w:szCs w:val="21"/>
        </w:rPr>
      </w:pPr>
      <w:r>
        <w:rPr>
          <w:rFonts w:ascii="Arial" w:cs="Arial" w:eastAsia="Calibri" w:hAnsi="Arial"/>
          <w:b/>
          <w:sz w:val="21"/>
          <w:szCs w:val="21"/>
        </w:rPr>
        <w:t xml:space="preserve">Art. 3° </w:t>
      </w:r>
      <w:r>
        <w:rPr>
          <w:rFonts w:ascii="Arial" w:cs="Arial" w:hAnsi="Arial"/>
          <w:bCs/>
          <w:sz w:val="21"/>
          <w:szCs w:val="21"/>
        </w:rPr>
        <w:t>A Seção VI, da Lei Municipal Nº 833, de 13 de fevereiro de 2009 passa a ter a seguinte redação</w:t>
      </w:r>
      <w:r>
        <w:rPr>
          <w:rFonts w:ascii="Arial" w:cs="Arial" w:eastAsia="Calibri" w:hAnsi="Arial"/>
          <w:b/>
          <w:sz w:val="21"/>
          <w:szCs w:val="21"/>
        </w:rPr>
        <w:t>:</w:t>
      </w:r>
    </w:p>
    <w:p>
      <w:pPr>
        <w:pStyle w:val="style0"/>
        <w:spacing w:after="0" w:before="0" w:line="100" w:lineRule="atLeast"/>
        <w:ind w:hanging="0" w:left="851" w:right="0"/>
        <w:contextualSpacing w:val="false"/>
        <w:jc w:val="center"/>
        <w:rPr>
          <w:rFonts w:ascii="Arial" w:cs="Arial" w:eastAsia="Calibri" w:hAnsi="Arial"/>
          <w:b/>
          <w:sz w:val="21"/>
          <w:szCs w:val="21"/>
        </w:rPr>
      </w:pPr>
      <w:r>
        <w:rPr>
          <w:rFonts w:ascii="Arial" w:cs="Arial" w:eastAsia="Calibri" w:hAnsi="Arial"/>
          <w:b/>
          <w:sz w:val="21"/>
          <w:szCs w:val="21"/>
        </w:rPr>
        <w:t>Seção VI</w:t>
      </w:r>
    </w:p>
    <w:p>
      <w:pPr>
        <w:pStyle w:val="style0"/>
        <w:spacing w:after="0" w:before="0" w:line="100" w:lineRule="atLeast"/>
        <w:ind w:hanging="0" w:left="851" w:right="0"/>
        <w:contextualSpacing w:val="false"/>
        <w:jc w:val="center"/>
        <w:rPr>
          <w:rFonts w:ascii="Arial" w:cs="Arial" w:eastAsia="Calibri" w:hAnsi="Arial"/>
          <w:b/>
          <w:sz w:val="21"/>
          <w:szCs w:val="21"/>
        </w:rPr>
      </w:pPr>
      <w:r>
        <w:rPr>
          <w:rFonts w:ascii="Arial" w:cs="Arial" w:eastAsia="Calibri" w:hAnsi="Arial"/>
          <w:b/>
          <w:sz w:val="21"/>
          <w:szCs w:val="21"/>
        </w:rPr>
        <w:t>Da Secretaria de Obras, Infraestrutura e Saneamento</w:t>
      </w:r>
    </w:p>
    <w:p>
      <w:pPr>
        <w:pStyle w:val="style0"/>
        <w:spacing w:after="0" w:before="0" w:line="100" w:lineRule="atLeast"/>
        <w:ind w:hanging="0" w:left="851" w:right="0"/>
        <w:contextualSpacing w:val="false"/>
        <w:jc w:val="center"/>
        <w:rPr>
          <w:rFonts w:ascii="Arial" w:cs="Arial" w:eastAsia="Calibri" w:hAnsi="Arial"/>
          <w:sz w:val="21"/>
          <w:szCs w:val="21"/>
        </w:rPr>
      </w:pPr>
      <w:r>
        <w:rPr>
          <w:rFonts w:ascii="Arial" w:cs="Arial" w:eastAsia="Calibri" w:hAnsi="Arial"/>
          <w:sz w:val="21"/>
          <w:szCs w:val="21"/>
        </w:rPr>
      </w:r>
    </w:p>
    <w:p>
      <w:pPr>
        <w:pStyle w:val="style0"/>
        <w:spacing w:after="0" w:before="0" w:line="100" w:lineRule="atLeast"/>
        <w:ind w:hanging="0" w:left="851" w:right="0"/>
        <w:contextualSpacing w:val="false"/>
        <w:jc w:val="both"/>
        <w:rPr>
          <w:rFonts w:ascii="Arial" w:cs="Arial" w:eastAsia="Calibri" w:hAnsi="Arial"/>
          <w:sz w:val="21"/>
          <w:szCs w:val="21"/>
        </w:rPr>
      </w:pPr>
      <w:r>
        <w:rPr>
          <w:rFonts w:ascii="Arial" w:cs="Arial" w:eastAsia="Calibri" w:hAnsi="Arial"/>
          <w:b/>
          <w:sz w:val="21"/>
          <w:szCs w:val="21"/>
          <w:u w:val="none"/>
        </w:rPr>
        <w:t>Art. 9º</w:t>
      </w:r>
      <w:r>
        <w:rPr>
          <w:rFonts w:ascii="Arial" w:cs="Arial" w:eastAsia="Calibri" w:hAnsi="Arial"/>
          <w:sz w:val="21"/>
          <w:szCs w:val="21"/>
        </w:rPr>
        <w:t xml:space="preserve"> A Secretaria de Obras, Infraestrutura e Saneamento constitui-se dos departamentos a seguir relacionados:</w:t>
      </w:r>
    </w:p>
    <w:p>
      <w:pPr>
        <w:pStyle w:val="style0"/>
        <w:spacing w:after="0" w:before="0" w:line="100" w:lineRule="atLeast"/>
        <w:ind w:hanging="0" w:left="851" w:right="0"/>
        <w:contextualSpacing w:val="false"/>
        <w:jc w:val="both"/>
        <w:rPr>
          <w:rFonts w:ascii="Arial" w:cs="Arial" w:eastAsia="Calibri" w:hAnsi="Arial"/>
          <w:sz w:val="21"/>
          <w:szCs w:val="21"/>
        </w:rPr>
      </w:pPr>
      <w:r>
        <w:rPr>
          <w:rFonts w:ascii="Arial" w:cs="Arial" w:eastAsia="Calibri" w:hAnsi="Arial"/>
          <w:sz w:val="21"/>
          <w:szCs w:val="21"/>
        </w:rPr>
      </w:r>
    </w:p>
    <w:p>
      <w:pPr>
        <w:pStyle w:val="style0"/>
        <w:spacing w:after="0" w:before="0" w:line="100" w:lineRule="atLeast"/>
        <w:ind w:hanging="0" w:left="851" w:right="0"/>
        <w:contextualSpacing w:val="false"/>
        <w:jc w:val="both"/>
        <w:rPr>
          <w:rFonts w:ascii="Arial" w:cs="Arial" w:eastAsia="Calibri" w:hAnsi="Arial"/>
          <w:sz w:val="21"/>
          <w:szCs w:val="21"/>
        </w:rPr>
      </w:pPr>
      <w:r>
        <w:rPr>
          <w:rFonts w:ascii="Arial" w:cs="Arial" w:eastAsia="Calibri" w:hAnsi="Arial"/>
          <w:sz w:val="21"/>
          <w:szCs w:val="21"/>
        </w:rPr>
        <w:t>I – Obras Públicas</w:t>
      </w:r>
    </w:p>
    <w:p>
      <w:pPr>
        <w:pStyle w:val="style0"/>
        <w:spacing w:after="0" w:before="0" w:line="100" w:lineRule="atLeast"/>
        <w:ind w:hanging="0" w:left="851" w:right="0"/>
        <w:contextualSpacing w:val="false"/>
        <w:jc w:val="both"/>
        <w:rPr>
          <w:rFonts w:ascii="Arial" w:cs="Arial" w:eastAsia="Calibri" w:hAnsi="Arial"/>
          <w:sz w:val="21"/>
          <w:szCs w:val="21"/>
        </w:rPr>
      </w:pPr>
      <w:r>
        <w:rPr>
          <w:rFonts w:ascii="Arial" w:cs="Arial" w:eastAsia="Calibri" w:hAnsi="Arial"/>
          <w:sz w:val="21"/>
          <w:szCs w:val="21"/>
        </w:rPr>
        <w:t>II – Coordenadoria de Habitação de Urbanismo</w:t>
      </w:r>
    </w:p>
    <w:p>
      <w:pPr>
        <w:pStyle w:val="style0"/>
        <w:spacing w:after="0" w:before="0" w:line="100" w:lineRule="atLeast"/>
        <w:ind w:hanging="0" w:left="851" w:right="0"/>
        <w:contextualSpacing w:val="false"/>
        <w:jc w:val="both"/>
        <w:rPr>
          <w:rFonts w:ascii="Arial" w:cs="Arial" w:eastAsia="Calibri" w:hAnsi="Arial"/>
          <w:sz w:val="21"/>
          <w:szCs w:val="21"/>
        </w:rPr>
      </w:pPr>
      <w:r>
        <w:rPr>
          <w:rFonts w:ascii="Arial" w:cs="Arial" w:eastAsia="Calibri" w:hAnsi="Arial"/>
          <w:sz w:val="21"/>
          <w:szCs w:val="21"/>
        </w:rPr>
        <w:t>III – Transporte e Trânsito</w:t>
      </w:r>
    </w:p>
    <w:p>
      <w:pPr>
        <w:pStyle w:val="style0"/>
        <w:spacing w:after="0" w:before="0" w:line="100" w:lineRule="atLeast"/>
        <w:ind w:hanging="0" w:left="851" w:right="0"/>
        <w:contextualSpacing w:val="false"/>
        <w:jc w:val="both"/>
        <w:rPr>
          <w:rFonts w:ascii="Arial" w:cs="Arial" w:eastAsia="Calibri" w:hAnsi="Arial"/>
          <w:sz w:val="21"/>
          <w:szCs w:val="21"/>
        </w:rPr>
      </w:pPr>
      <w:r>
        <w:rPr>
          <w:rFonts w:ascii="Arial" w:cs="Arial" w:eastAsia="Calibri" w:hAnsi="Arial"/>
          <w:sz w:val="21"/>
          <w:szCs w:val="21"/>
        </w:rPr>
        <w:t>IV – Saneamento e Serviço de Abastecimento de Água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eastAsia="Calibri" w:hAnsi="Arial"/>
          <w:sz w:val="21"/>
          <w:szCs w:val="21"/>
        </w:rPr>
      </w:pPr>
      <w:r>
        <w:rPr>
          <w:rFonts w:ascii="Arial" w:cs="Arial" w:eastAsia="Calibri" w:hAnsi="Arial"/>
          <w:sz w:val="21"/>
          <w:szCs w:val="21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Arial" w:cs="Arial" w:eastAsia="Calibri" w:hAnsi="Arial"/>
          <w:b w:val="false"/>
          <w:bCs w:val="false"/>
          <w:color w:val="000000"/>
          <w:sz w:val="21"/>
          <w:szCs w:val="21"/>
          <w:u w:val="none"/>
        </w:rPr>
      </w:pPr>
      <w:r>
        <w:rPr>
          <w:rFonts w:ascii="Arial" w:cs="Arial" w:eastAsia="Calibri" w:hAnsi="Arial"/>
          <w:b/>
          <w:sz w:val="21"/>
          <w:szCs w:val="21"/>
        </w:rPr>
        <w:t xml:space="preserve">Art. 4° </w:t>
      </w:r>
      <w:r>
        <w:rPr>
          <w:rFonts w:ascii="Arial" w:cs="Arial" w:eastAsia="Calibri" w:hAnsi="Arial"/>
          <w:color w:val="000000"/>
          <w:sz w:val="21"/>
          <w:szCs w:val="21"/>
        </w:rPr>
        <w:t xml:space="preserve">Esta Lei entra em vigor na data de sua publicação, mantendo inalteradas </w:t>
      </w:r>
      <w:r>
        <w:rPr>
          <w:rFonts w:ascii="Arial" w:cs="Arial" w:eastAsia="Calibri" w:hAnsi="Arial"/>
          <w:b w:val="false"/>
          <w:bCs w:val="false"/>
          <w:color w:val="000000"/>
          <w:sz w:val="21"/>
          <w:szCs w:val="21"/>
          <w:u w:val="none"/>
        </w:rPr>
        <w:t>as</w:t>
      </w:r>
      <w:r>
        <w:rPr>
          <w:rFonts w:ascii="Arial" w:cs="Arial" w:eastAsia="Calibri" w:hAnsi="Arial"/>
          <w:color w:val="000000"/>
          <w:sz w:val="21"/>
          <w:szCs w:val="21"/>
        </w:rPr>
        <w:t xml:space="preserve"> demais disposições da Lei Municipal Nº 833, de 13 de fevereiro </w:t>
      </w:r>
      <w:bookmarkStart w:id="0" w:name="_GoBack"/>
      <w:bookmarkEnd w:id="0"/>
      <w:r>
        <w:rPr>
          <w:rFonts w:ascii="Arial" w:cs="Arial" w:eastAsia="Calibri" w:hAnsi="Arial"/>
          <w:b w:val="false"/>
          <w:bCs w:val="false"/>
          <w:color w:val="000000"/>
          <w:sz w:val="21"/>
          <w:szCs w:val="21"/>
          <w:u w:val="none"/>
        </w:rPr>
        <w:t>de 2009.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sz w:val="21"/>
          <w:szCs w:val="21"/>
        </w:rPr>
        <w:t xml:space="preserve">Sala de Sessões, 16 de junho de 2014. 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sz w:val="21"/>
          <w:szCs w:val="21"/>
        </w:rPr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sz w:val="21"/>
          <w:szCs w:val="21"/>
        </w:rPr>
        <w:t>Visto Técnico</w:t>
      </w:r>
    </w:p>
    <w:p>
      <w:pPr>
        <w:pStyle w:val="style0"/>
        <w:spacing w:after="0" w:before="0" w:line="100" w:lineRule="atLeast"/>
        <w:contextualSpacing w:val="false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sz w:val="21"/>
          <w:szCs w:val="21"/>
        </w:rPr>
        <w:t>Loutar Prieb</w:t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sz w:val="21"/>
          <w:szCs w:val="21"/>
        </w:rPr>
        <w:t>Secretário de Administração, Planejamento,</w:t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sz w:val="21"/>
          <w:szCs w:val="21"/>
        </w:rPr>
        <w:t>Finanças, Gestão e Tributos</w:t>
      </w:r>
    </w:p>
    <w:p>
      <w:pPr>
        <w:pStyle w:val="style0"/>
        <w:spacing w:after="0" w:before="0" w:line="100" w:lineRule="atLeast"/>
        <w:contextualSpacing w:val="false"/>
        <w:jc w:val="center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sz w:val="21"/>
          <w:szCs w:val="21"/>
        </w:rPr>
        <w:t>_________________________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sz w:val="21"/>
          <w:szCs w:val="21"/>
        </w:rPr>
        <w:t>Leonir Aldrighi Baschi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sz w:val="21"/>
          <w:szCs w:val="21"/>
        </w:rPr>
        <w:t>Pre</w:t>
      </w:r>
      <w:r>
        <w:rPr>
          <w:rFonts w:ascii="Arial" w:cs="Arial" w:hAnsi="Arial"/>
          <w:sz w:val="21"/>
          <w:szCs w:val="21"/>
        </w:rPr>
        <w:t>feito Municipal</w:t>
      </w:r>
    </w:p>
    <w:sectPr>
      <w:headerReference r:id="rId3" w:type="default"/>
      <w:type w:val="nextPage"/>
      <w:pgSz w:h="16838" w:w="11906"/>
      <w:pgMar w:bottom="426" w:footer="0" w:gutter="0" w:header="708" w:left="1080" w:right="1080" w:top="765"/>
      <w:pgNumType w:fmt="decimal"/>
      <w:formProt w:val="false"/>
      <w:textDirection w:val="lrTb"/>
      <w:docGrid w:charSpace="-225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1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  <w:spacing w:after="200" w:before="0" w:line="276" w:lineRule="auto"/>
      <w:contextualSpacing w:val="false"/>
    </w:pPr>
    <w:rPr>
      <w:rFonts w:ascii="Times New Roman" w:cs="Mangal" w:eastAsia="SimSun" w:hAnsi="Times New Roman"/>
      <w:color w:val="auto"/>
      <w:sz w:val="24"/>
      <w:szCs w:val="24"/>
      <w:lang w:bidi="hi-IN" w:eastAsia="zh-CN" w:val="pt-BR"/>
    </w:rPr>
  </w:style>
  <w:style w:styleId="style15" w:type="character">
    <w:name w:val="Default Paragraph Font"/>
    <w:next w:val="style15"/>
    <w:rPr/>
  </w:style>
  <w:style w:styleId="style16" w:type="character">
    <w:name w:val="Link da Internet"/>
    <w:next w:val="style16"/>
    <w:rPr>
      <w:color w:val="0000FF"/>
      <w:u w:val="single"/>
      <w:lang w:bidi="pt-BR" w:eastAsia="pt-BR" w:val="pt-BR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character">
    <w:name w:val="Texto de balão Char"/>
    <w:next w:val="style19"/>
    <w:rPr>
      <w:rFonts w:ascii="Tahoma" w:cs="Tahoma" w:hAnsi="Tahoma"/>
      <w:sz w:val="16"/>
      <w:szCs w:val="16"/>
    </w:rPr>
  </w:style>
  <w:style w:styleId="style20" w:type="character">
    <w:name w:val="ListLabel 1"/>
    <w:next w:val="style20"/>
    <w:rPr>
      <w:sz w:val="20"/>
    </w:rPr>
  </w:style>
  <w:style w:styleId="style21" w:type="character">
    <w:name w:val="ListLabel 2"/>
    <w:next w:val="style21"/>
    <w:rPr>
      <w:rFonts w:cs="Times New Roman"/>
    </w:rPr>
  </w:style>
  <w:style w:styleId="style22" w:type="character">
    <w:name w:val="Fonte parág. padrão"/>
    <w:next w:val="style22"/>
    <w:rPr/>
  </w:style>
  <w:style w:styleId="style23" w:type="paragraph">
    <w:name w:val="Título"/>
    <w:basedOn w:val="style0"/>
    <w:next w:val="style24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4" w:type="paragraph">
    <w:name w:val="Corpo do texto"/>
    <w:basedOn w:val="style0"/>
    <w:next w:val="style24"/>
    <w:pPr>
      <w:spacing w:after="120" w:before="0"/>
      <w:contextualSpacing w:val="false"/>
    </w:pPr>
    <w:rPr/>
  </w:style>
  <w:style w:styleId="style25" w:type="paragraph">
    <w:name w:val="Lista"/>
    <w:basedOn w:val="style24"/>
    <w:next w:val="style25"/>
    <w:pPr/>
    <w:rPr>
      <w:rFonts w:cs="Mangal"/>
    </w:rPr>
  </w:style>
  <w:style w:styleId="style26" w:type="paragraph">
    <w:name w:val="Legenda"/>
    <w:basedOn w:val="style0"/>
    <w:next w:val="style2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7" w:type="paragraph">
    <w:name w:val="Índice"/>
    <w:basedOn w:val="style28"/>
    <w:next w:val="style27"/>
    <w:pPr>
      <w:suppressLineNumbers/>
    </w:pPr>
    <w:rPr>
      <w:rFonts w:cs="Mangal"/>
    </w:rPr>
  </w:style>
  <w:style w:styleId="style28" w:type="paragraph">
    <w:name w:val="Padrão"/>
    <w:next w:val="style28"/>
    <w:pPr>
      <w:widowControl/>
      <w:tabs>
        <w:tab w:leader="none" w:pos="708" w:val="left"/>
      </w:tabs>
      <w:suppressAutoHyphens w:val="true"/>
      <w:kinsoku w:val="true"/>
      <w:overflowPunct w:val="true"/>
      <w:autoSpaceDE w:val="true"/>
      <w:spacing w:after="200" w:before="0" w:line="276" w:lineRule="auto"/>
      <w:contextualSpacing w:val="false"/>
    </w:pPr>
    <w:rPr>
      <w:rFonts w:ascii="Times New Roman" w:cs="Mangal" w:eastAsia="SimSun" w:hAnsi="Times New Roman"/>
      <w:color w:val="00000A"/>
      <w:sz w:val="22"/>
      <w:szCs w:val="22"/>
      <w:lang w:bidi="hi-IN" w:eastAsia="en-US" w:val="pt-BR"/>
    </w:rPr>
  </w:style>
  <w:style w:styleId="style29" w:type="paragraph">
    <w:name w:val="Título do documento"/>
    <w:basedOn w:val="style28"/>
    <w:next w:val="style29"/>
    <w:pPr>
      <w:keepNext/>
      <w:spacing w:after="120" w:before="240"/>
      <w:contextualSpacing w:val="false"/>
      <w:jc w:val="left"/>
    </w:pPr>
    <w:rPr>
      <w:rFonts w:ascii="Arial" w:cs="Mangal" w:eastAsia="Microsoft YaHei" w:hAnsi="Arial"/>
      <w:sz w:val="28"/>
      <w:szCs w:val="28"/>
    </w:rPr>
  </w:style>
  <w:style w:styleId="style30" w:type="paragraph">
    <w:name w:val="caption"/>
    <w:basedOn w:val="style28"/>
    <w:next w:val="style3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1" w:type="paragraph">
    <w:name w:val="Cabeçalho"/>
    <w:basedOn w:val="style28"/>
    <w:next w:val="style31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32" w:type="paragraph">
    <w:name w:val="Rodapé"/>
    <w:basedOn w:val="style28"/>
    <w:next w:val="style32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33" w:type="paragraph">
    <w:name w:val="Balloon Text"/>
    <w:basedOn w:val="style28"/>
    <w:next w:val="style33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34" w:type="paragraph">
    <w:name w:val="No Spacing"/>
    <w:next w:val="style34"/>
    <w:pPr>
      <w:widowControl/>
      <w:suppressAutoHyphens w:val="true"/>
      <w:kinsoku w:val="true"/>
      <w:overflowPunct w:val="true"/>
      <w:autoSpaceDE w:val="true"/>
    </w:pPr>
    <w:rPr>
      <w:rFonts w:ascii="Calibri" w:cs="Calibri" w:eastAsia="SimSun" w:hAnsi="Calibri"/>
      <w:color w:val="auto"/>
      <w:sz w:val="22"/>
      <w:szCs w:val="22"/>
      <w:lang w:bidi="hi-IN" w:eastAsia="en-US" w:val="pt-BR"/>
    </w:rPr>
  </w:style>
  <w:style w:styleId="style35" w:type="paragraph">
    <w:name w:val="Conteúdo da tabela"/>
    <w:basedOn w:val="style0"/>
    <w:next w:val="style35"/>
    <w:pPr/>
    <w:rPr/>
  </w:style>
  <w:style w:styleId="style36" w:type="paragraph">
    <w:name w:val="Título de tabela"/>
    <w:basedOn w:val="style35"/>
    <w:next w:val="style36"/>
    <w:pPr>
      <w:suppressLineNumbers/>
      <w:jc w:val="center"/>
    </w:pPr>
    <w:rPr>
      <w:b/>
      <w:bCs/>
    </w:rPr>
  </w:style>
  <w:style w:styleId="style37" w:type="paragraph">
    <w:name w:val="Text body"/>
    <w:basedOn w:val="style38"/>
    <w:next w:val="style37"/>
    <w:pPr>
      <w:spacing w:after="120" w:before="0"/>
      <w:contextualSpacing w:val="false"/>
    </w:pPr>
    <w:rPr/>
  </w:style>
  <w:style w:styleId="style38" w:type="paragraph">
    <w:name w:val="Standard"/>
    <w:next w:val="style38"/>
    <w:pPr>
      <w:widowControl w:val="false"/>
      <w:suppressAutoHyphens w:val="true"/>
      <w:kinsoku w:val="true"/>
      <w:overflowPunct w:val="true"/>
      <w:autoSpaceDE w:val="true"/>
    </w:pPr>
    <w:rPr>
      <w:rFonts w:ascii="Times New Roman" w:cs="Mangal" w:eastAsia="SimSun;宋体" w:hAnsi="Times New Roman"/>
      <w:color w:val="auto"/>
      <w:sz w:val="24"/>
      <w:szCs w:val="24"/>
      <w:lang w:bidi="hi-IN" w:eastAsia="zh-CN" w:val="pt-BR"/>
    </w:rPr>
  </w:style>
  <w:style w:styleId="style39" w:type="paragraph">
    <w:name w:val="Texto de balão"/>
    <w:basedOn w:val="style28"/>
    <w:next w:val="style39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4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2014-06-02T13:04:00Z</dcterms:created>
  <dc:creator>Adm-04</dc:creator>
  <cp:lastModifiedBy>Camara</cp:lastModifiedBy>
  <cp:lastPrinted>2014-06-18T09:15:40Z</cp:lastPrinted>
  <dcterms:modified xsi:type="dcterms:W3CDTF">2014-06-17T12:37:00Z</dcterms:modified>
  <cp:revision>11</cp:revision>
</cp:coreProperties>
</file>