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drawing>
            <wp:inline distB="0" distL="0" distR="0" distT="0">
              <wp:extent cx="1072515" cy="134366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2515" cy="1343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1.429, de 19 de Dezembro de 2013.</w:t>
      </w:r>
    </w:p>
    <w:p>
      <w:pPr>
        <w:pStyle w:val="style0"/>
        <w:tabs>
          <w:tab w:leader="none" w:pos="3686" w:val="left"/>
          <w:tab w:leader="none" w:pos="4536" w:val="left"/>
        </w:tabs>
        <w:spacing w:after="120" w:before="0" w:line="100" w:lineRule="atLeast"/>
        <w:ind w:firstLine="567" w:left="3828" w:right="-1"/>
        <w:jc w:val="both"/>
      </w:pPr>
      <w:r>
        <w:rPr>
          <w:rFonts w:ascii="Arial" w:cs="Arial" w:hAnsi="Arial"/>
          <w:bCs/>
          <w:sz w:val="24"/>
          <w:szCs w:val="24"/>
        </w:rPr>
        <w:t xml:space="preserve">Altera o art. 34 e o anexo II da Lei Municipal </w:t>
      </w:r>
      <w:r>
        <w:rPr>
          <w:rFonts w:ascii="Arial" w:cs="Arial" w:eastAsia="Calibri" w:hAnsi="Arial"/>
          <w:b w:val="false"/>
          <w:bCs w:val="false"/>
          <w:sz w:val="24"/>
          <w:szCs w:val="24"/>
          <w:u w:val="none"/>
        </w:rPr>
        <w:t>962</w:t>
      </w:r>
      <w:r>
        <w:rPr>
          <w:rFonts w:ascii="Arial" w:cs="Arial" w:eastAsia="Calibri" w:hAnsi="Arial"/>
          <w:b/>
          <w:sz w:val="24"/>
          <w:szCs w:val="24"/>
          <w:u w:val="single"/>
        </w:rPr>
        <w:t xml:space="preserve"> </w:t>
      </w:r>
      <w:r>
        <w:rPr>
          <w:rFonts w:ascii="Arial" w:cs="Arial" w:eastAsia="Calibri" w:hAnsi="Arial"/>
          <w:b w:val="false"/>
          <w:bCs w:val="false"/>
          <w:sz w:val="24"/>
          <w:szCs w:val="24"/>
          <w:u w:val="none"/>
        </w:rPr>
        <w:t>de 04 de novembro de 2009</w:t>
      </w:r>
      <w:r>
        <w:rPr>
          <w:rFonts w:ascii="Arial" w:cs="Arial" w:eastAsia="Calibri" w:hAnsi="Arial"/>
          <w:sz w:val="24"/>
          <w:szCs w:val="24"/>
        </w:rPr>
        <w:t xml:space="preserve">, </w:t>
      </w:r>
      <w:r>
        <w:rPr>
          <w:rFonts w:ascii="Arial" w:cs="Arial" w:hAnsi="Arial"/>
          <w:bCs/>
          <w:sz w:val="24"/>
          <w:szCs w:val="24"/>
        </w:rPr>
        <w:t xml:space="preserve">que estabelece o Plano de Carreira do Magistério Público do Município de Arroio do Padre e institui o respectivo quadro de cargos e funções.  </w:t>
      </w:r>
    </w:p>
    <w:p>
      <w:pPr>
        <w:pStyle w:val="style0"/>
        <w:tabs>
          <w:tab w:leader="none" w:pos="-82" w:val="left"/>
          <w:tab w:leader="none" w:pos="768" w:val="left"/>
        </w:tabs>
        <w:spacing w:after="120" w:before="0" w:line="100" w:lineRule="atLeast"/>
        <w:ind w:firstLine="15" w:left="60" w:right="-1"/>
        <w:jc w:val="both"/>
      </w:pPr>
      <w:r>
        <w:rPr>
          <w:rFonts w:ascii="Arial" w:cs="Arial" w:eastAsia="Calibri" w:hAnsi="Arial"/>
          <w:bCs/>
          <w:sz w:val="24"/>
          <w:szCs w:val="24"/>
        </w:rPr>
        <w:t xml:space="preserve">     </w:t>
      </w:r>
      <w:r>
        <w:rPr>
          <w:rFonts w:ascii="Arial" w:cs="Arial" w:eastAsia="Calibri" w:hAnsi="Arial"/>
          <w:bCs/>
          <w:sz w:val="24"/>
          <w:szCs w:val="24"/>
        </w:rPr>
        <w:t>O Prefeito Municipal de Arroio do Padre, Sr. Leonir Aldrighi Baschi, faz saber que a Câmara Municipal de Vereadores aprovou e eu sanciono e promulgo a seguinte Lei,</w:t>
      </w:r>
      <w:r>
        <w:rPr>
          <w:rFonts w:ascii="Arial" w:cs="Arial" w:eastAsia="Calibri" w:hAnsi="Arial"/>
        </w:rPr>
        <w:t xml:space="preserve">                                 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120" w:before="240" w:line="100" w:lineRule="atLeast"/>
        <w:jc w:val="both"/>
      </w:pPr>
      <w:r>
        <w:rPr>
          <w:rFonts w:ascii="Arial" w:cs="Arial" w:eastAsia="Calibri" w:hAnsi="Arial"/>
          <w:b/>
          <w:sz w:val="24"/>
          <w:szCs w:val="24"/>
        </w:rPr>
        <w:t>Art. 1</w:t>
      </w:r>
      <w:r>
        <w:rPr>
          <w:rFonts w:ascii="Arial" w:cs="Arial" w:eastAsia="Calibri" w:hAnsi="Arial"/>
          <w:sz w:val="24"/>
          <w:szCs w:val="24"/>
        </w:rPr>
        <w:t xml:space="preserve">° A presente Lei altera o artigo 34 e o anexo II da Lei Municipal Nº 962, de 04 de novembro de 2009, que estabelece o Plano de Carreira do Magistério Público de Arroio do Padre e institui o respectivo quadro de cargos e funções. </w:t>
      </w:r>
    </w:p>
    <w:p>
      <w:pPr>
        <w:pStyle w:val="style0"/>
        <w:spacing w:after="120" w:before="240" w:line="100" w:lineRule="atLeast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 xml:space="preserve">Art. 2º 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O art. 34, da Lei Municipal Nº 962, de 04 de novembro de 2009, que estabelece o Plano de Carreira do Magistério Público do Município de Arroio do Padre e institui o respectivo quadro de cargos e funções, passa a vigor com a seguinte redação: </w:t>
      </w:r>
    </w:p>
    <w:p>
      <w:pPr>
        <w:pStyle w:val="style0"/>
        <w:spacing w:after="120" w:before="240" w:line="100" w:lineRule="atLeast"/>
        <w:ind w:hanging="0" w:left="708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Art. 34.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São criados os seguintes Cargos em Comissão e Funções Gratificadas, específicas do Magistério: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700"/>
        <w:gridCol w:w="2552"/>
        <w:gridCol w:w="2550"/>
        <w:gridCol w:w="1914"/>
      </w:tblGrid>
      <w:tr>
        <w:trPr>
          <w:trHeight w:hRule="atLeast" w:val="432"/>
          <w:cantSplit w:val="false"/>
        </w:trPr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b/>
                <w:sz w:val="24"/>
                <w:szCs w:val="24"/>
                <w:lang w:eastAsia="en-US"/>
              </w:rPr>
              <w:t>Quantidade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b/>
                <w:sz w:val="24"/>
                <w:szCs w:val="24"/>
                <w:lang w:eastAsia="en-US"/>
              </w:rPr>
              <w:t>Denominação</w:t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b/>
                <w:sz w:val="24"/>
                <w:szCs w:val="24"/>
                <w:lang w:eastAsia="en-US"/>
              </w:rPr>
              <w:t>Carga Horária</w:t>
            </w:r>
          </w:p>
        </w:tc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b/>
                <w:sz w:val="24"/>
                <w:szCs w:val="24"/>
                <w:lang w:eastAsia="en-US"/>
              </w:rPr>
              <w:t>Código</w:t>
            </w:r>
          </w:p>
        </w:tc>
      </w:tr>
      <w:tr>
        <w:trPr>
          <w:trHeight w:hRule="atLeast" w:val="506"/>
          <w:cantSplit w:val="false"/>
        </w:trPr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>Diretor de Escola</w:t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>Definida pelo Poder Executivo</w:t>
            </w:r>
          </w:p>
        </w:tc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>MAFC 1</w:t>
            </w:r>
          </w:p>
        </w:tc>
      </w:tr>
      <w:tr>
        <w:trPr>
          <w:trHeight w:hRule="atLeast" w:val="506"/>
          <w:cantSplit w:val="false"/>
        </w:trPr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>Diretor de Escola II</w:t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>Definida pelo Poder Executivo</w:t>
            </w:r>
          </w:p>
        </w:tc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>MAFC 2</w:t>
            </w:r>
          </w:p>
        </w:tc>
      </w:tr>
      <w:tr>
        <w:trPr>
          <w:trHeight w:hRule="atLeast" w:val="723"/>
          <w:cantSplit w:val="false"/>
        </w:trPr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>Regente de Unidade Escolar</w:t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>Definida pelo Poder Executivo</w:t>
            </w:r>
          </w:p>
        </w:tc>
        <w:tc>
          <w:tcPr>
            <w:tcW w:type="dxa" w:w="1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 w:val="24"/>
                <w:szCs w:val="24"/>
                <w:lang w:eastAsia="en-US"/>
              </w:rPr>
              <w:t>MAFC 3</w:t>
            </w:r>
          </w:p>
        </w:tc>
      </w:tr>
    </w:tbl>
    <w:p>
      <w:pPr>
        <w:pStyle w:val="style0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 xml:space="preserve">Art. 3º </w:t>
      </w:r>
      <w:r>
        <w:rPr>
          <w:rFonts w:ascii="Arial" w:cs="Arial" w:hAnsi="Arial"/>
          <w:sz w:val="24"/>
          <w:szCs w:val="24"/>
        </w:rPr>
        <w:t xml:space="preserve">O anexo II, da Lei Municipal nº 962, de 04 de novembro de 2009, passa a vigorar com a redação abaixo especificada. </w:t>
      </w:r>
    </w:p>
    <w:p>
      <w:pPr>
        <w:pStyle w:val="style0"/>
        <w:jc w:val="center"/>
      </w:pPr>
      <w:r>
        <w:rPr>
          <w:rFonts w:ascii="Arial" w:cs="Arial" w:hAnsi="Arial"/>
          <w:sz w:val="24"/>
          <w:szCs w:val="24"/>
        </w:rPr>
        <w:t>Anexo II</w:t>
      </w:r>
    </w:p>
    <w:tbl>
      <w:tblPr>
        <w:jc w:val="left"/>
        <w:tblBorders/>
        <w:tblInd w:type="dxa" w:w="-108"/>
      </w:tblPr>
      <w:tblGrid>
        <w:gridCol w:w="4356"/>
        <w:gridCol w:w="4356"/>
      </w:tblGrid>
      <w:tr>
        <w:trPr>
          <w:trHeight w:hRule="atLeast" w:val="324"/>
          <w:cantSplit w:val="false"/>
        </w:trPr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4"/>
                <w:szCs w:val="24"/>
              </w:rPr>
              <w:t>Determinação da Categoria Funcional</w:t>
            </w:r>
          </w:p>
        </w:tc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4"/>
                <w:szCs w:val="24"/>
              </w:rPr>
              <w:t>Valor Padrão – R$</w:t>
            </w:r>
          </w:p>
        </w:tc>
      </w:tr>
      <w:tr>
        <w:trPr>
          <w:trHeight w:hRule="atLeast" w:val="324"/>
          <w:cantSplit w:val="false"/>
        </w:trPr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Professor I</w:t>
            </w:r>
          </w:p>
        </w:tc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4"/>
                <w:szCs w:val="24"/>
              </w:rPr>
              <w:t>985,35</w:t>
            </w:r>
          </w:p>
        </w:tc>
      </w:tr>
      <w:tr>
        <w:trPr>
          <w:trHeight w:hRule="atLeast" w:val="324"/>
          <w:cantSplit w:val="false"/>
        </w:trPr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Professor II</w:t>
            </w:r>
          </w:p>
        </w:tc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4"/>
                <w:szCs w:val="24"/>
              </w:rPr>
              <w:t>985,35</w:t>
            </w:r>
          </w:p>
        </w:tc>
      </w:tr>
      <w:tr>
        <w:trPr>
          <w:trHeight w:hRule="atLeast" w:val="324"/>
          <w:cantSplit w:val="false"/>
        </w:trPr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Diretor de Escola I</w:t>
            </w:r>
          </w:p>
        </w:tc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4"/>
                <w:szCs w:val="24"/>
              </w:rPr>
              <w:t>563,06</w:t>
            </w:r>
          </w:p>
        </w:tc>
      </w:tr>
      <w:tr>
        <w:trPr>
          <w:trHeight w:hRule="atLeast" w:val="324"/>
          <w:cantSplit w:val="false"/>
        </w:trPr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Diretor de Escola II</w:t>
            </w:r>
          </w:p>
        </w:tc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4"/>
                <w:szCs w:val="24"/>
              </w:rPr>
              <w:t>281,53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Regente de Unidade Escolar</w:t>
            </w:r>
          </w:p>
        </w:tc>
        <w:tc>
          <w:tcPr>
            <w:tcW w:type="dxa" w:w="435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4"/>
                <w:szCs w:val="24"/>
              </w:rPr>
              <w:t>140,78</w:t>
            </w:r>
          </w:p>
        </w:tc>
      </w:tr>
    </w:tbl>
    <w:p>
      <w:pPr>
        <w:pStyle w:val="style0"/>
        <w:spacing w:after="120" w:before="120" w:line="100" w:lineRule="atLeast"/>
        <w:jc w:val="both"/>
      </w:pPr>
      <w:r>
        <w:rPr>
          <w:rFonts w:ascii="Arial" w:cs="Arial" w:eastAsia="Calibri" w:hAnsi="Arial"/>
          <w:b/>
          <w:lang w:eastAsia="en-US"/>
        </w:rPr>
        <w:t>Art. 4º</w:t>
      </w:r>
      <w:r>
        <w:rPr>
          <w:rFonts w:ascii="Arial" w:cs="Arial" w:eastAsia="Calibri" w:hAnsi="Arial"/>
          <w:lang w:eastAsia="en-US"/>
        </w:rPr>
        <w:t xml:space="preserve"> </w:t>
      </w:r>
      <w:r>
        <w:rPr>
          <w:rFonts w:ascii="Arial" w:cs="Arial" w:eastAsia="Calibri" w:hAnsi="Arial"/>
          <w:sz w:val="24"/>
          <w:szCs w:val="24"/>
          <w:lang w:eastAsia="en-US"/>
        </w:rPr>
        <w:t>Fica revogada da Lei Municipal Nº 1.019, de 26 de maio de 2010.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eastAsia="Calibri" w:hAnsi="Arial"/>
          <w:b/>
          <w:lang w:eastAsia="en-US"/>
        </w:rPr>
        <w:t>Art. 5º</w:t>
      </w:r>
      <w:r>
        <w:rPr>
          <w:rFonts w:ascii="Arial" w:cs="Arial" w:eastAsia="Calibri" w:hAnsi="Arial"/>
          <w:lang w:eastAsia="en-US"/>
        </w:rPr>
        <w:t xml:space="preserve"> </w:t>
      </w:r>
      <w:r>
        <w:rPr>
          <w:rFonts w:ascii="Arial" w:cs="Arial" w:eastAsia="Calibri" w:hAnsi="Arial"/>
          <w:sz w:val="24"/>
          <w:szCs w:val="24"/>
          <w:lang w:eastAsia="en-US"/>
        </w:rPr>
        <w:t>Mantêm-se inalteradas as demais disposições consignadas na reportada Lei e alterações posteriores vigentes nesta data:</w:t>
      </w:r>
    </w:p>
    <w:p>
      <w:pPr>
        <w:pStyle w:val="style0"/>
        <w:spacing w:after="120" w:before="0"/>
        <w:jc w:val="both"/>
      </w:pPr>
      <w:r>
        <w:rPr>
          <w:rFonts w:ascii="Arial" w:cs="Arial" w:eastAsia="Calibri" w:hAnsi="Arial"/>
          <w:b/>
          <w:lang w:eastAsia="en-US"/>
        </w:rPr>
        <w:t>Art. 6º</w:t>
      </w:r>
      <w:r>
        <w:rPr>
          <w:rFonts w:ascii="Arial" w:cs="Arial" w:eastAsia="Calibri" w:hAnsi="Arial"/>
          <w:lang w:eastAsia="en-US"/>
        </w:rPr>
        <w:t xml:space="preserve"> </w:t>
      </w:r>
      <w:r>
        <w:rPr>
          <w:rFonts w:ascii="Arial" w:cs="Arial" w:eastAsia="Calibri" w:hAnsi="Arial"/>
          <w:color w:val="000000"/>
          <w:lang w:eastAsia="en-US"/>
        </w:rPr>
        <w:t>Esta Lei entra em vigor na data de sua publicação.</w:t>
      </w:r>
    </w:p>
    <w:p>
      <w:pPr>
        <w:pStyle w:val="style0"/>
        <w:spacing w:after="120" w:before="0"/>
        <w:jc w:val="both"/>
      </w:pPr>
      <w:r>
        <w:rPr>
          <w:rFonts w:ascii="Arial" w:cs="Arial" w:eastAsia="Calibri" w:hAnsi="Arial"/>
          <w:color w:val="000000"/>
          <w:lang w:eastAsia="en-US"/>
        </w:rPr>
      </w:r>
    </w:p>
    <w:p>
      <w:pPr>
        <w:pStyle w:val="style0"/>
        <w:spacing w:after="120" w:before="0"/>
        <w:jc w:val="both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  <w:jc w:val="right"/>
      </w:pPr>
      <w:r>
        <w:rPr>
          <w:rFonts w:ascii="Arial" w:cs="Arial" w:hAnsi="Arial"/>
        </w:rPr>
        <w:tab/>
        <w:tab/>
        <w:tab/>
        <w:tab/>
        <w:tab/>
        <w:tab/>
        <w:tab/>
      </w:r>
      <w:bookmarkStart w:id="0" w:name="_GoBack"/>
      <w:bookmarkEnd w:id="0"/>
      <w:r>
        <w:rPr>
          <w:rFonts w:ascii="Arial" w:cs="Arial" w:hAnsi="Arial"/>
        </w:rPr>
        <w:t xml:space="preserve">Arroio do Padre ,19 de dezembro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 xml:space="preserve">Visto Técnico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2013-12-06T15:07:00.00Z</dcterms:created>
  <dc:creator>Adm-04</dc:creator>
  <cp:lastModifiedBy>usuario</cp:lastModifiedBy>
  <cp:lastPrinted>2013-12-19T10:53:44.66Z</cp:lastPrinted>
  <dcterms:modified xsi:type="dcterms:W3CDTF">2013-12-17T18:15:00.00Z</dcterms:modified>
  <cp:revision>7</cp:revision>
</cp:coreProperties>
</file>