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sz w:val="22"/>
          <w:szCs w:val="22"/>
          <w:u w:val="single"/>
        </w:rPr>
        <w:t>Lei 1.426 de 12 de Dezembro de 2013.</w:t>
      </w:r>
    </w:p>
    <w:p>
      <w:pPr>
        <w:pStyle w:val="style42"/>
        <w:spacing w:after="28" w:before="0" w:line="240" w:lineRule="atLeast"/>
        <w:ind w:firstLine="142" w:left="4111" w:right="0"/>
        <w:jc w:val="both"/>
      </w:pPr>
      <w:r>
        <w:rPr>
          <w:rFonts w:ascii="Arial" w:cs="Arial" w:hAnsi="Arial"/>
          <w:sz w:val="22"/>
          <w:szCs w:val="22"/>
        </w:rPr>
        <w:t>Estima a Receita e Fixa a Despesa do Município de Arroio do Padre para o exercício financeiro de 2014.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b w:val="false"/>
          <w:bCs w:val="false"/>
          <w:sz w:val="22"/>
          <w:szCs w:val="22"/>
        </w:rPr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b w:val="false"/>
          <w:bCs w:val="false"/>
          <w:sz w:val="22"/>
          <w:szCs w:val="22"/>
        </w:rPr>
        <w:t>O Prefeito Municipal de Arroio do Padre, Sr. Leonir Aldrighi Baschi, faz saber que a Câmara Municipal de Vereadores aprovou  e eu sanciono e promulgo a seguinte Lei,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b/>
          <w:sz w:val="22"/>
          <w:szCs w:val="22"/>
        </w:rPr>
        <w:t>Art. 1</w:t>
      </w:r>
      <w:r>
        <w:rPr>
          <w:rFonts w:ascii="Arial" w:cs="Arial" w:hAnsi="Arial"/>
          <w:b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/>
          <w:sz w:val="22"/>
          <w:szCs w:val="22"/>
        </w:rPr>
        <w:t>.</w:t>
      </w:r>
      <w:r>
        <w:rPr>
          <w:rFonts w:ascii="Arial" w:cs="Arial" w:hAnsi="Arial"/>
          <w:sz w:val="22"/>
          <w:szCs w:val="22"/>
        </w:rPr>
        <w:t xml:space="preserve"> Esta Lei estima a receita e fixa a despesa do Município de Arroio do Padre para o exercício financeiro de 2014, referentes aos Poderes do Município e órgãos a ele vinculados.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sz w:val="22"/>
          <w:szCs w:val="22"/>
        </w:rPr>
        <w:t>§ 1</w:t>
      </w:r>
      <w:r>
        <w:rPr>
          <w:rFonts w:ascii="Arial" w:cs="Arial" w:hAnsi="Arial"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>. Constituem anexos e fazem parte desta Lei: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bCs/>
          <w:sz w:val="22"/>
          <w:szCs w:val="22"/>
        </w:rPr>
        <w:t>I – Demonstrativo da receita e da despesa do Município para o exercício a que se refere a proposta e os dois seguintes, a receita realizada dos três últimos exercícios encerrados e a prevista para o ano corrente;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bCs/>
          <w:sz w:val="22"/>
          <w:szCs w:val="22"/>
        </w:rPr>
        <w:t>II - Metodologia e premissa de cálculos realizados, nos termos do que dispõe o art. 12 da Lei Complementar n</w:t>
      </w:r>
      <w:r>
        <w:rPr>
          <w:rFonts w:ascii="Arial" w:cs="Arial" w:hAnsi="Arial"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Cs/>
          <w:sz w:val="22"/>
          <w:szCs w:val="22"/>
        </w:rPr>
        <w:t xml:space="preserve"> 101, de 2000 (LRF);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bCs/>
          <w:sz w:val="22"/>
          <w:szCs w:val="22"/>
        </w:rPr>
        <w:t>III – Demonstrativo da Receita Corrente Líquida (RCL) projetada para 2014 (LRF, art. 12, § 3</w:t>
      </w:r>
      <w:r>
        <w:rPr>
          <w:rFonts w:ascii="Arial" w:cs="Arial" w:hAnsi="Arial"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Cs/>
          <w:sz w:val="22"/>
          <w:szCs w:val="22"/>
        </w:rPr>
        <w:t>);</w:t>
      </w:r>
    </w:p>
    <w:p>
      <w:pPr>
        <w:pStyle w:val="style43"/>
        <w:spacing w:after="28" w:before="28"/>
        <w:ind w:firstLine="851" w:left="0" w:right="0"/>
      </w:pPr>
      <w:r>
        <w:rPr>
          <w:rFonts w:ascii="Arial" w:cs="Arial" w:hAnsi="Arial"/>
          <w:bCs/>
          <w:sz w:val="22"/>
          <w:szCs w:val="22"/>
        </w:rPr>
        <w:t>IV – Anexos orçamentários 1, 2, 6, 7, 8 e 9 da Lei n</w:t>
      </w:r>
      <w:r>
        <w:rPr>
          <w:rFonts w:ascii="Arial" w:cs="Arial" w:hAnsi="Arial"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Cs/>
          <w:sz w:val="22"/>
          <w:szCs w:val="22"/>
        </w:rPr>
        <w:t xml:space="preserve"> 4.320, de 1964;</w:t>
      </w:r>
    </w:p>
    <w:p>
      <w:pPr>
        <w:pStyle w:val="style43"/>
        <w:spacing w:after="28" w:before="28"/>
        <w:ind w:firstLine="851" w:left="0" w:right="0"/>
      </w:pPr>
      <w:r>
        <w:rPr>
          <w:rFonts w:ascii="Arial" w:cs="Arial" w:hAnsi="Arial"/>
          <w:bCs/>
          <w:sz w:val="22"/>
          <w:szCs w:val="22"/>
        </w:rPr>
        <w:t>V - Descrição sucinta de cada unidade administrativa e de suas principais finalidades com indicação da respectiva legislação (parágrafo único do art. 22 da Lei n</w:t>
      </w:r>
      <w:r>
        <w:rPr>
          <w:rFonts w:ascii="Arial" w:cs="Arial" w:hAnsi="Arial"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Cs/>
          <w:sz w:val="22"/>
          <w:szCs w:val="22"/>
        </w:rPr>
        <w:t xml:space="preserve"> 4.320, de 1964);</w:t>
      </w:r>
    </w:p>
    <w:p>
      <w:pPr>
        <w:pStyle w:val="style43"/>
        <w:spacing w:after="28" w:before="28"/>
        <w:ind w:firstLine="851" w:left="0" w:right="0"/>
      </w:pPr>
      <w:r>
        <w:rPr>
          <w:rFonts w:ascii="Arial" w:cs="Arial" w:hAnsi="Arial"/>
          <w:bCs/>
          <w:sz w:val="22"/>
          <w:szCs w:val="22"/>
        </w:rPr>
        <w:t>VI - Quadro discriminativo da receita por fontes e respectiva legislação (inciso III, do § 1</w:t>
      </w:r>
      <w:r>
        <w:rPr>
          <w:rFonts w:ascii="Arial" w:cs="Arial" w:hAnsi="Arial"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Cs/>
          <w:sz w:val="22"/>
          <w:szCs w:val="22"/>
        </w:rPr>
        <w:t>, do art. 2</w:t>
      </w:r>
      <w:r>
        <w:rPr>
          <w:rFonts w:ascii="Arial" w:cs="Arial" w:hAnsi="Arial"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Cs/>
          <w:sz w:val="22"/>
          <w:szCs w:val="22"/>
        </w:rPr>
        <w:t xml:space="preserve"> da Lei n</w:t>
      </w:r>
      <w:r>
        <w:rPr>
          <w:rFonts w:ascii="Arial" w:cs="Arial" w:hAnsi="Arial"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Cs/>
          <w:sz w:val="22"/>
          <w:szCs w:val="22"/>
        </w:rPr>
        <w:t xml:space="preserve"> 4.320, de 1964);</w:t>
      </w:r>
    </w:p>
    <w:p>
      <w:pPr>
        <w:pStyle w:val="style43"/>
        <w:spacing w:after="28" w:before="28"/>
        <w:ind w:firstLine="851" w:left="0" w:right="0"/>
      </w:pPr>
      <w:r>
        <w:rPr>
          <w:rFonts w:ascii="Arial" w:cs="Arial" w:hAnsi="Arial"/>
          <w:bCs/>
          <w:sz w:val="22"/>
          <w:szCs w:val="22"/>
        </w:rPr>
        <w:t>VII - Quadros demonstrativos da receita e planos de aplicação dos fundos especiais (inciso I, do § 2</w:t>
      </w:r>
      <w:r>
        <w:rPr>
          <w:rFonts w:ascii="Arial" w:cs="Arial" w:hAnsi="Arial"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Cs/>
          <w:sz w:val="22"/>
          <w:szCs w:val="22"/>
        </w:rPr>
        <w:t xml:space="preserve"> do art. 2</w:t>
      </w:r>
      <w:r>
        <w:rPr>
          <w:rFonts w:ascii="Arial" w:cs="Arial" w:hAnsi="Arial"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Cs/>
          <w:sz w:val="22"/>
          <w:szCs w:val="22"/>
        </w:rPr>
        <w:t xml:space="preserve"> da Lei n</w:t>
      </w:r>
      <w:r>
        <w:rPr>
          <w:rFonts w:ascii="Arial" w:cs="Arial" w:hAnsi="Arial"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Cs/>
          <w:sz w:val="22"/>
          <w:szCs w:val="22"/>
        </w:rPr>
        <w:t xml:space="preserve"> 4.320, de 1964);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sz w:val="22"/>
          <w:szCs w:val="22"/>
        </w:rPr>
        <w:t>VIII - Demonstrativo da estimativa e compensação da renúncia da receita (LRF, art. 5</w:t>
      </w:r>
      <w:r>
        <w:rPr>
          <w:rFonts w:ascii="Arial" w:cs="Arial" w:hAnsi="Arial"/>
          <w:b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>, II)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sz w:val="22"/>
          <w:szCs w:val="22"/>
        </w:rPr>
        <w:t>IX - Demonstrativo da margem de expansão das despesas obrigatórias de caráter continuado (LRF, art. 5</w:t>
      </w:r>
      <w:r>
        <w:rPr>
          <w:rFonts w:ascii="Arial" w:cs="Arial" w:hAnsi="Arial"/>
          <w:b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>, II);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sz w:val="22"/>
          <w:szCs w:val="22"/>
          <w:lang w:val="pt-PT"/>
        </w:rPr>
        <w:t>X - Anexo de compatibilidade do orçamento com o anexo de metas fiscais (LRF, art. 5</w:t>
      </w:r>
      <w:r>
        <w:rPr>
          <w:rFonts w:ascii="Arial" w:cs="Arial" w:hAnsi="Arial"/>
          <w:sz w:val="22"/>
          <w:szCs w:val="22"/>
          <w:u w:val="single"/>
          <w:vertAlign w:val="superscript"/>
          <w:lang w:val="pt-PT"/>
        </w:rPr>
        <w:t>o</w:t>
      </w:r>
      <w:r>
        <w:rPr>
          <w:rFonts w:ascii="Arial" w:cs="Arial" w:hAnsi="Arial"/>
          <w:sz w:val="22"/>
          <w:szCs w:val="22"/>
          <w:lang w:val="pt-PT"/>
        </w:rPr>
        <w:t>, I);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sz w:val="22"/>
          <w:szCs w:val="22"/>
          <w:lang w:val="pt-PT"/>
        </w:rPr>
        <w:t>XI – Relação dos compromissos (convênios e contratos) firmados para 2014 com os respectivos créditos orçamentários;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sz w:val="22"/>
          <w:szCs w:val="22"/>
          <w:lang w:val="pt-PT"/>
        </w:rPr>
        <w:t>XII – Anexo demonstrativo da receita e da despesa por destinação e fonte de recursos.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sz w:val="22"/>
          <w:szCs w:val="22"/>
          <w:lang w:val="pt-PT"/>
        </w:rPr>
        <w:t>§ 2</w:t>
      </w:r>
      <w:r>
        <w:rPr>
          <w:rFonts w:ascii="Arial" w:cs="Arial" w:hAnsi="Arial"/>
          <w:sz w:val="22"/>
          <w:szCs w:val="22"/>
          <w:u w:val="single"/>
          <w:vertAlign w:val="superscript"/>
          <w:lang w:val="pt-PT"/>
        </w:rPr>
        <w:t>o</w:t>
      </w:r>
      <w:r>
        <w:rPr>
          <w:rFonts w:ascii="Arial" w:cs="Arial" w:hAnsi="Arial"/>
          <w:sz w:val="22"/>
          <w:szCs w:val="22"/>
          <w:lang w:val="pt-PT"/>
        </w:rPr>
        <w:t>. O anexo X deste artigo atualiza os valores relativos às metas de resultados fiscais do anexo de metas fiscais de que trata a Lei de Diretrizes Orçamentárias, nos termos do art. 4</w:t>
      </w:r>
      <w:r>
        <w:rPr>
          <w:rFonts w:ascii="Arial" w:cs="Arial" w:hAnsi="Arial"/>
          <w:sz w:val="22"/>
          <w:szCs w:val="22"/>
          <w:u w:val="single"/>
          <w:vertAlign w:val="superscript"/>
          <w:lang w:val="pt-PT"/>
        </w:rPr>
        <w:t>o</w:t>
      </w:r>
      <w:r>
        <w:rPr>
          <w:rFonts w:ascii="Arial" w:cs="Arial" w:hAnsi="Arial"/>
          <w:sz w:val="22"/>
          <w:szCs w:val="22"/>
          <w:lang w:val="pt-PT"/>
        </w:rPr>
        <w:t>, § 1</w:t>
      </w:r>
      <w:r>
        <w:rPr>
          <w:rFonts w:ascii="Arial" w:cs="Arial" w:hAnsi="Arial"/>
          <w:sz w:val="22"/>
          <w:szCs w:val="22"/>
          <w:u w:val="single"/>
          <w:vertAlign w:val="superscript"/>
          <w:lang w:val="pt-PT"/>
        </w:rPr>
        <w:t>o</w:t>
      </w:r>
      <w:r>
        <w:rPr>
          <w:rFonts w:ascii="Arial" w:cs="Arial" w:hAnsi="Arial"/>
          <w:sz w:val="22"/>
          <w:szCs w:val="22"/>
          <w:lang w:val="pt-PT"/>
        </w:rPr>
        <w:t xml:space="preserve"> da LRF.</w:t>
      </w:r>
    </w:p>
    <w:p>
      <w:pPr>
        <w:pStyle w:val="style44"/>
        <w:ind w:firstLine="851" w:left="0" w:right="0"/>
        <w:jc w:val="both"/>
      </w:pPr>
      <w:r>
        <w:rPr>
          <w:rFonts w:ascii="Arial" w:cs="Arial" w:hAnsi="Arial"/>
          <w:b/>
          <w:bCs/>
          <w:sz w:val="22"/>
          <w:szCs w:val="22"/>
        </w:rPr>
        <w:t>Art. 2</w:t>
      </w:r>
      <w:r>
        <w:rPr>
          <w:rFonts w:ascii="Arial" w:cs="Arial" w:hAnsi="Arial"/>
          <w:b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/>
          <w:bCs/>
          <w:sz w:val="22"/>
          <w:szCs w:val="22"/>
        </w:rPr>
        <w:t>.</w:t>
      </w:r>
      <w:r>
        <w:rPr>
          <w:rFonts w:ascii="Arial" w:cs="Arial" w:hAnsi="Arial"/>
          <w:sz w:val="22"/>
          <w:szCs w:val="22"/>
        </w:rPr>
        <w:t xml:space="preserve"> O Orçamento do Município, em obediência ao princípio do equilíbrio das contas públicas de que trata a Lei Complementar </w:t>
      </w:r>
      <w:r>
        <w:rPr>
          <w:rFonts w:ascii="Arial" w:cs="Arial" w:hAnsi="Arial"/>
          <w:bCs/>
          <w:sz w:val="22"/>
          <w:szCs w:val="22"/>
        </w:rPr>
        <w:t>n</w:t>
      </w:r>
      <w:r>
        <w:rPr>
          <w:rFonts w:ascii="Arial" w:cs="Arial" w:hAnsi="Arial"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 xml:space="preserve"> 101, de 2000, art. 1</w:t>
      </w:r>
      <w:r>
        <w:rPr>
          <w:rFonts w:ascii="Arial" w:cs="Arial" w:hAnsi="Arial"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>, § 1</w:t>
      </w:r>
      <w:r>
        <w:rPr>
          <w:rFonts w:ascii="Arial" w:cs="Arial" w:hAnsi="Arial"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>, fica estabelecido em igual valor entre a receita estimada e a soma da despesa fixada acrescida da reserva de contingência.</w:t>
      </w:r>
    </w:p>
    <w:p>
      <w:pPr>
        <w:pStyle w:val="style45"/>
        <w:tabs>
          <w:tab w:leader="none" w:pos="0" w:val="left"/>
        </w:tabs>
        <w:spacing w:after="28" w:before="28"/>
        <w:ind w:firstLine="851" w:left="0" w:right="0"/>
      </w:pPr>
      <w:r>
        <w:rPr>
          <w:rFonts w:ascii="Arial" w:cs="Arial" w:hAnsi="Arial"/>
          <w:b/>
          <w:sz w:val="22"/>
          <w:szCs w:val="22"/>
        </w:rPr>
        <w:t>Art. 3</w:t>
      </w:r>
      <w:r>
        <w:rPr>
          <w:rFonts w:ascii="Arial" w:cs="Arial" w:hAnsi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/>
          <w:bCs/>
          <w:sz w:val="22"/>
          <w:szCs w:val="22"/>
        </w:rPr>
        <w:t>.</w:t>
      </w:r>
      <w:r>
        <w:rPr>
          <w:rFonts w:ascii="Arial" w:cs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Considerar-se-á créditos adicionais especiais, para efeitos desta Lei, e em conformidade com a Portaria n</w:t>
      </w:r>
      <w:r>
        <w:rPr>
          <w:rFonts w:ascii="Arial" w:cs="Arial" w:hAnsi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 xml:space="preserve"> 163, de 2001, art. 6</w:t>
      </w:r>
      <w:r>
        <w:rPr>
          <w:rFonts w:ascii="Arial" w:cs="Arial" w:hAnsi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>, da Secretaria do Tesouro Nacional o crédito orçamentário criado em nível de modalidade de aplicação.</w:t>
      </w:r>
    </w:p>
    <w:p>
      <w:pPr>
        <w:pStyle w:val="style46"/>
        <w:tabs>
          <w:tab w:leader="none" w:pos="0" w:val="left"/>
        </w:tabs>
        <w:spacing w:after="28" w:before="28"/>
        <w:ind w:firstLine="851" w:left="0" w:right="0"/>
      </w:pPr>
      <w:r>
        <w:rPr>
          <w:rFonts w:ascii="Arial" w:cs="Arial" w:hAnsi="Arial"/>
          <w:b/>
          <w:bCs/>
          <w:sz w:val="22"/>
          <w:szCs w:val="22"/>
        </w:rPr>
        <w:t>Art. 4</w:t>
      </w:r>
      <w:r>
        <w:rPr>
          <w:rFonts w:ascii="Arial" w:cs="Arial" w:hAnsi="Arial"/>
          <w:b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/>
          <w:bCs/>
          <w:sz w:val="22"/>
          <w:szCs w:val="22"/>
        </w:rPr>
        <w:t>.</w:t>
      </w:r>
      <w:r>
        <w:rPr>
          <w:rFonts w:ascii="Arial" w:cs="Arial" w:hAnsi="Arial"/>
          <w:sz w:val="22"/>
          <w:szCs w:val="22"/>
        </w:rPr>
        <w:t xml:space="preserve"> Fica o Poder Executivo autorizado a abrir créditos suplementares, por Decreto, na Administração Direta e Indireta, observados os arts. 8</w:t>
      </w:r>
      <w:r>
        <w:rPr>
          <w:rFonts w:ascii="Arial" w:cs="Arial" w:hAnsi="Arial"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>, 9</w:t>
      </w:r>
      <w:r>
        <w:rPr>
          <w:rFonts w:ascii="Arial" w:cs="Arial" w:hAnsi="Arial"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 xml:space="preserve"> e 13 da Lei Complementar </w:t>
      </w:r>
      <w:r>
        <w:rPr>
          <w:rFonts w:ascii="Arial" w:cs="Arial" w:hAnsi="Arial"/>
          <w:bCs/>
          <w:sz w:val="22"/>
          <w:szCs w:val="22"/>
        </w:rPr>
        <w:t>n</w:t>
      </w:r>
      <w:r>
        <w:rPr>
          <w:rFonts w:ascii="Arial" w:cs="Arial" w:hAnsi="Arial"/>
          <w:bCs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 xml:space="preserve"> 101, de 2000, mediante a utilização dos recursos:</w:t>
      </w:r>
    </w:p>
    <w:p>
      <w:pPr>
        <w:pStyle w:val="style46"/>
        <w:tabs>
          <w:tab w:leader="none" w:pos="0" w:val="left"/>
        </w:tabs>
        <w:spacing w:after="28" w:before="28"/>
        <w:ind w:firstLine="851" w:left="0" w:right="0"/>
      </w:pPr>
      <w:r>
        <w:rPr>
          <w:rFonts w:ascii="Arial" w:cs="Arial" w:hAnsi="Arial"/>
          <w:sz w:val="22"/>
          <w:szCs w:val="22"/>
        </w:rPr>
        <w:t>I - da anulação parcial ou total de dotações orçamentárias, nos termos do art. 43, § 1</w:t>
      </w:r>
      <w:r>
        <w:rPr>
          <w:rFonts w:ascii="Arial" w:cs="Arial" w:hAnsi="Arial"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>, inciso III, da Lei n</w:t>
      </w:r>
      <w:r>
        <w:rPr>
          <w:rFonts w:ascii="Arial" w:cs="Arial" w:hAnsi="Arial"/>
          <w:sz w:val="22"/>
          <w:szCs w:val="22"/>
          <w:u w:val="single"/>
          <w:vertAlign w:val="superscript"/>
        </w:rPr>
        <w:t xml:space="preserve">o </w:t>
      </w:r>
      <w:r>
        <w:rPr>
          <w:rFonts w:ascii="Arial" w:cs="Arial" w:hAnsi="Arial"/>
          <w:sz w:val="22"/>
          <w:szCs w:val="22"/>
        </w:rPr>
        <w:t xml:space="preserve">4.320, de 17 de março de 1964, até o limite de </w:t>
      </w:r>
      <w:r>
        <w:rPr>
          <w:rFonts w:ascii="Arial" w:cs="Arial" w:hAnsi="Arial"/>
          <w:b w:val="false"/>
          <w:bCs w:val="false"/>
          <w:sz w:val="22"/>
          <w:szCs w:val="22"/>
          <w:u w:val="none"/>
        </w:rPr>
        <w:t>15% (quinze por cento)</w:t>
      </w:r>
      <w:r>
        <w:rPr>
          <w:rFonts w:ascii="Arial" w:cs="Arial" w:hAnsi="Arial"/>
          <w:sz w:val="22"/>
          <w:szCs w:val="22"/>
        </w:rPr>
        <w:t xml:space="preserve"> do somatório da receita total projetada, inclusive a previsão adicional (re-estimativa), ou despesa fixada no caso de entidades que não possuam receitas próprias;</w:t>
      </w:r>
    </w:p>
    <w:p>
      <w:pPr>
        <w:pStyle w:val="style46"/>
        <w:tabs>
          <w:tab w:leader="none" w:pos="0" w:val="left"/>
        </w:tabs>
        <w:spacing w:after="28" w:before="28"/>
        <w:ind w:firstLine="851" w:left="0" w:right="0"/>
      </w:pPr>
      <w:r>
        <w:rPr>
          <w:rFonts w:ascii="Arial" w:cs="Arial" w:hAnsi="Arial"/>
          <w:sz w:val="22"/>
          <w:szCs w:val="22"/>
        </w:rPr>
        <w:t>II - da Reserva de Contingência, com valores específicos para este fim no anexo de riscos fiscais;</w:t>
      </w:r>
    </w:p>
    <w:p>
      <w:pPr>
        <w:pStyle w:val="style46"/>
        <w:tabs>
          <w:tab w:leader="none" w:pos="0" w:val="left"/>
        </w:tabs>
        <w:spacing w:after="0" w:before="28"/>
        <w:ind w:firstLine="851" w:left="0" w:right="0"/>
      </w:pPr>
      <w:r>
        <w:rPr>
          <w:rFonts w:ascii="Arial" w:cs="Arial" w:hAnsi="Arial"/>
          <w:sz w:val="22"/>
          <w:szCs w:val="22"/>
        </w:rPr>
        <w:t>III - de excesso de arrecadação proveniente de receitas livres ou vinculadas arrecadadas e a arrecadar, desde que para alocação nos mesmos créditos orçamentários em que os recursos dessas fontes foram originalmente programados;</w:t>
      </w:r>
    </w:p>
    <w:p>
      <w:pPr>
        <w:pStyle w:val="style46"/>
        <w:tabs>
          <w:tab w:leader="none" w:pos="0" w:val="left"/>
        </w:tabs>
        <w:spacing w:after="28" w:before="28"/>
        <w:ind w:firstLine="851" w:left="0" w:right="0"/>
      </w:pPr>
      <w:r>
        <w:rPr>
          <w:rFonts w:ascii="Arial" w:cs="Arial" w:hAnsi="Arial"/>
          <w:sz w:val="22"/>
          <w:szCs w:val="22"/>
        </w:rPr>
        <w:t>IV - superávit financeiro apurado em balanço do exercício anterior, de acordo com as vinculações originais.</w:t>
      </w:r>
    </w:p>
    <w:p>
      <w:pPr>
        <w:pStyle w:val="style46"/>
        <w:tabs>
          <w:tab w:leader="none" w:pos="0" w:val="left"/>
        </w:tabs>
        <w:spacing w:after="28" w:before="28"/>
        <w:ind w:firstLine="851" w:left="0" w:right="0"/>
      </w:pPr>
      <w:r>
        <w:rPr>
          <w:rFonts w:ascii="Arial" w:cs="Arial" w:hAnsi="Arial"/>
          <w:sz w:val="22"/>
          <w:szCs w:val="22"/>
        </w:rPr>
        <w:t>§ 1º Os limites autorizados no inciso I deste artigo não serão onerados quando o Crédito Adicional Suplementar se destinar a atender:</w:t>
      </w:r>
    </w:p>
    <w:p>
      <w:pPr>
        <w:pStyle w:val="style46"/>
        <w:tabs>
          <w:tab w:leader="none" w:pos="0" w:val="left"/>
        </w:tabs>
        <w:spacing w:after="240" w:before="28"/>
        <w:ind w:hanging="0" w:left="0" w:right="0"/>
      </w:pPr>
      <w:r>
        <w:rPr>
          <w:rFonts w:ascii="Arial" w:cs="Arial" w:hAnsi="Arial"/>
          <w:sz w:val="22"/>
          <w:szCs w:val="22"/>
        </w:rPr>
        <w:tab/>
        <w:t>I - Insuficiência de dotações do Grupo de Natureza da Despesa 1 – Pessoal e Encargos Sociais, mediante a utilização de recursos oriundos de anulação de despesas consignadas ao mesmo grupo;</w:t>
      </w:r>
    </w:p>
    <w:p>
      <w:pPr>
        <w:pStyle w:val="style46"/>
        <w:tabs>
          <w:tab w:leader="none" w:pos="0" w:val="left"/>
        </w:tabs>
        <w:spacing w:after="240" w:before="28"/>
        <w:ind w:hanging="0" w:left="0" w:right="0"/>
      </w:pPr>
      <w:r>
        <w:rPr>
          <w:rFonts w:ascii="Arial" w:cs="Arial" w:hAnsi="Arial"/>
          <w:sz w:val="22"/>
          <w:szCs w:val="22"/>
        </w:rPr>
        <w:tab/>
        <w:t>II - Pagamentos de despesas decorrentes de precatórios judiciais, amortização, juros e encargos da dívida.</w:t>
      </w:r>
    </w:p>
    <w:p>
      <w:pPr>
        <w:pStyle w:val="style46"/>
        <w:tabs>
          <w:tab w:leader="none" w:pos="0" w:val="left"/>
        </w:tabs>
        <w:spacing w:after="240" w:before="28"/>
        <w:ind w:hanging="0" w:left="0" w:right="0"/>
      </w:pPr>
      <w:r>
        <w:rPr>
          <w:rFonts w:ascii="Arial" w:cs="Arial" w:hAnsi="Arial"/>
          <w:sz w:val="22"/>
          <w:szCs w:val="22"/>
        </w:rPr>
        <w:tab/>
        <w:t>III - Despesas financiadas com recursos provenientes de operações de crédito, alienação de bens e transferências voluntárias da União e do Estado;</w:t>
      </w:r>
    </w:p>
    <w:p>
      <w:pPr>
        <w:pStyle w:val="style46"/>
        <w:tabs>
          <w:tab w:leader="none" w:pos="0" w:val="left"/>
        </w:tabs>
        <w:spacing w:after="240" w:before="28"/>
        <w:ind w:hanging="0" w:left="0" w:right="0"/>
      </w:pPr>
      <w:r>
        <w:rPr>
          <w:rFonts w:ascii="Arial" w:cs="Arial" w:hAnsi="Arial"/>
          <w:sz w:val="22"/>
          <w:szCs w:val="22"/>
        </w:rPr>
        <w:tab/>
        <w:t>VI - As disposições dos incisos II e III não se aplicam ao Poder Legislativo.</w:t>
      </w:r>
    </w:p>
    <w:p>
      <w:pPr>
        <w:pStyle w:val="style46"/>
        <w:tabs>
          <w:tab w:leader="none" w:pos="0" w:val="left"/>
        </w:tabs>
        <w:spacing w:after="28" w:before="28"/>
        <w:ind w:firstLine="851" w:left="0" w:right="0"/>
      </w:pPr>
      <w:r>
        <w:rPr>
          <w:rFonts w:ascii="Arial" w:cs="Arial" w:hAnsi="Arial"/>
          <w:sz w:val="22"/>
          <w:szCs w:val="22"/>
        </w:rPr>
        <w:t>§ 2</w:t>
      </w:r>
      <w:r>
        <w:rPr>
          <w:rFonts w:ascii="Arial" w:cs="Arial" w:hAnsi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/>
          <w:sz w:val="22"/>
          <w:szCs w:val="22"/>
        </w:rPr>
        <w:t>.</w:t>
      </w:r>
      <w:r>
        <w:rPr>
          <w:rFonts w:ascii="Arial" w:cs="Arial" w:hAnsi="Arial"/>
          <w:sz w:val="22"/>
          <w:szCs w:val="22"/>
        </w:rPr>
        <w:t xml:space="preserve"> Poderão ser utilizadas, para efeitos de créditos adicionais, reduções de valores atribuídos a créditos orçamentários de diferentes unidades gestoras do orçamento (administração direta), sendo que os créditos adicionais especiais que envolvam o Poder Legislativo deverão possuir autorização expressa daquele Poder.</w:t>
      </w:r>
    </w:p>
    <w:p>
      <w:pPr>
        <w:pStyle w:val="style0"/>
        <w:spacing w:after="28" w:before="28"/>
        <w:ind w:firstLine="851" w:left="0" w:right="0"/>
        <w:jc w:val="both"/>
      </w:pPr>
      <w:r>
        <w:rPr>
          <w:rFonts w:ascii="Arial" w:cs="Arial" w:hAnsi="Arial"/>
          <w:b/>
          <w:sz w:val="22"/>
          <w:szCs w:val="22"/>
        </w:rPr>
        <w:t>Art. 5</w:t>
      </w:r>
      <w:r>
        <w:rPr>
          <w:rFonts w:ascii="Arial" w:cs="Arial" w:hAnsi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/>
          <w:sz w:val="22"/>
          <w:szCs w:val="22"/>
        </w:rPr>
        <w:t>.</w:t>
      </w:r>
      <w:r>
        <w:rPr>
          <w:rFonts w:ascii="Arial" w:cs="Arial" w:hAnsi="Arial"/>
          <w:sz w:val="22"/>
          <w:szCs w:val="22"/>
        </w:rPr>
        <w:t xml:space="preserve"> Fica o Poder Executivo autorizado a realizar operações de crédito por antecipação de receita orçamentária no decorrer do exercício, atendidas as disposições do artigo 38 da Lei Complementar n</w:t>
      </w:r>
      <w:r>
        <w:rPr>
          <w:rFonts w:ascii="Arial" w:cs="Arial" w:hAnsi="Arial"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sz w:val="22"/>
          <w:szCs w:val="22"/>
        </w:rPr>
        <w:t xml:space="preserve"> 101, de 2000 e Resoluções do Senado Federal que dispõem sobre a matéria.</w:t>
      </w:r>
    </w:p>
    <w:p>
      <w:pPr>
        <w:pStyle w:val="style0"/>
        <w:spacing w:after="28" w:before="28"/>
        <w:ind w:firstLine="851" w:left="0" w:right="0"/>
      </w:pPr>
      <w:r>
        <w:rPr>
          <w:rFonts w:ascii="Arial" w:cs="Arial" w:hAnsi="Arial"/>
          <w:b/>
          <w:sz w:val="22"/>
          <w:szCs w:val="22"/>
        </w:rPr>
        <w:t>Art. 6</w:t>
      </w:r>
      <w:r>
        <w:rPr>
          <w:rFonts w:ascii="Arial" w:cs="Arial" w:hAnsi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cs="Arial" w:hAnsi="Arial"/>
          <w:b/>
          <w:sz w:val="22"/>
          <w:szCs w:val="22"/>
        </w:rPr>
        <w:t>.</w:t>
      </w:r>
      <w:r>
        <w:rPr>
          <w:rFonts w:ascii="Arial" w:cs="Arial" w:hAnsi="Arial"/>
          <w:sz w:val="22"/>
          <w:szCs w:val="22"/>
        </w:rPr>
        <w:t xml:space="preserve"> Esta Lei entra em vigor na data de sua publicação.</w:t>
      </w:r>
    </w:p>
    <w:p>
      <w:pPr>
        <w:pStyle w:val="style0"/>
        <w:jc w:val="right"/>
      </w:pPr>
      <w:r>
        <w:rPr>
          <w:sz w:val="22"/>
          <w:szCs w:val="22"/>
        </w:rPr>
      </w:r>
    </w:p>
    <w:p>
      <w:pPr>
        <w:pStyle w:val="style0"/>
        <w:jc w:val="right"/>
      </w:pPr>
      <w:bookmarkStart w:id="0" w:name="_GoBack"/>
      <w:bookmarkEnd w:id="0"/>
      <w:r>
        <w:rPr>
          <w:rFonts w:ascii="Arial" w:cs="Arial" w:hAnsi="Arial"/>
          <w:sz w:val="22"/>
          <w:szCs w:val="22"/>
        </w:rPr>
        <w:t xml:space="preserve">Arroio do Padre,12 de Dezembro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2"/>
          <w:szCs w:val="22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>
          <w:sz w:val="22"/>
          <w:szCs w:val="22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2"/>
          <w:szCs w:val="22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2"/>
          <w:szCs w:val="22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2"/>
          <w:szCs w:val="22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2"/>
          <w:szCs w:val="22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2"/>
          <w:szCs w:val="22"/>
        </w:rPr>
        <w:t>Prefeito Municipal</w:t>
      </w:r>
    </w:p>
    <w:p>
      <w:pPr>
        <w:pStyle w:val="style0"/>
        <w:tabs>
          <w:tab w:leader="none" w:pos="0" w:val="left"/>
        </w:tabs>
        <w:spacing w:after="0" w:before="0" w:line="100" w:lineRule="atLeast"/>
        <w:ind w:hanging="0" w:left="0" w:right="-1"/>
        <w:jc w:val="right"/>
      </w:pPr>
      <w:r>
        <w:rPr/>
      </w:r>
    </w:p>
    <w:sectPr>
      <w:headerReference r:id="rId3" w:type="default"/>
      <w:type w:val="nextPage"/>
      <w:pgSz w:h="16838" w:w="11906"/>
      <w:pgMar w:bottom="993" w:footer="0" w:gutter="0" w:header="708" w:left="1080" w:right="1080" w:top="1135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31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Recuo de corpo de texto Char"/>
    <w:basedOn w:val="style15"/>
    <w:next w:val="style24"/>
    <w:rPr/>
  </w:style>
  <w:style w:styleId="style25" w:type="character">
    <w:name w:val="Corpo de texto 2 Char"/>
    <w:basedOn w:val="style15"/>
    <w:next w:val="style25"/>
    <w:rPr/>
  </w:style>
  <w:style w:styleId="style26" w:type="character">
    <w:name w:val="Corpo de texto 3 Char"/>
    <w:basedOn w:val="style15"/>
    <w:next w:val="style26"/>
    <w:rPr>
      <w:sz w:val="16"/>
      <w:szCs w:val="16"/>
    </w:rPr>
  </w:style>
  <w:style w:styleId="style27" w:type="character">
    <w:name w:val="ListLabel 6"/>
    <w:next w:val="style27"/>
    <w:rPr>
      <w:b/>
      <w:sz w:val="24"/>
      <w:szCs w:val="24"/>
    </w:rPr>
  </w:style>
  <w:style w:styleId="style28" w:type="character">
    <w:name w:val="ListLabel 7"/>
    <w:next w:val="style28"/>
    <w:rPr>
      <w:b/>
    </w:rPr>
  </w:style>
  <w:style w:styleId="style29" w:type="character">
    <w:name w:val="ListLabel 8"/>
    <w:next w:val="style29"/>
    <w:rPr>
      <w:rFonts w:cs="Arial"/>
      <w:b/>
      <w:sz w:val="24"/>
      <w:szCs w:val="24"/>
    </w:rPr>
  </w:style>
  <w:style w:styleId="style30" w:type="paragraph">
    <w:name w:val="Título"/>
    <w:basedOn w:val="style0"/>
    <w:next w:val="style3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1" w:type="paragraph">
    <w:name w:val="Corpo de texto"/>
    <w:basedOn w:val="style0"/>
    <w:next w:val="style31"/>
    <w:pPr>
      <w:spacing w:after="120" w:before="0"/>
    </w:pPr>
    <w:rPr/>
  </w:style>
  <w:style w:styleId="style32" w:type="paragraph">
    <w:name w:val="Lista"/>
    <w:basedOn w:val="style31"/>
    <w:next w:val="style32"/>
    <w:pPr/>
    <w:rPr>
      <w:rFonts w:cs="Mangal"/>
    </w:rPr>
  </w:style>
  <w:style w:styleId="style33" w:type="paragraph">
    <w:name w:val="Legenda"/>
    <w:basedOn w:val="style0"/>
    <w:next w:val="style3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4" w:type="paragraph">
    <w:name w:val="Índice"/>
    <w:basedOn w:val="style0"/>
    <w:next w:val="style34"/>
    <w:pPr>
      <w:suppressLineNumbers/>
    </w:pPr>
    <w:rPr>
      <w:rFonts w:cs="Mangal"/>
    </w:rPr>
  </w:style>
  <w:style w:styleId="style35" w:type="paragraph">
    <w:name w:val="Título principal"/>
    <w:basedOn w:val="style0"/>
    <w:next w:val="style36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6" w:type="paragraph">
    <w:name w:val="Subtítulo"/>
    <w:basedOn w:val="style30"/>
    <w:next w:val="style31"/>
    <w:pPr>
      <w:jc w:val="center"/>
    </w:pPr>
    <w:rPr>
      <w:i/>
      <w:iCs/>
      <w:sz w:val="28"/>
      <w:szCs w:val="28"/>
    </w:rPr>
  </w:style>
  <w:style w:styleId="style37" w:type="paragraph">
    <w:name w:val="caption"/>
    <w:basedOn w:val="style0"/>
    <w:next w:val="style3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8" w:type="paragraph">
    <w:name w:val="Cabeçalho"/>
    <w:basedOn w:val="style0"/>
    <w:next w:val="style38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9" w:type="paragraph">
    <w:name w:val="Rodapé"/>
    <w:basedOn w:val="style0"/>
    <w:next w:val="style39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40" w:type="paragraph">
    <w:name w:val="Balloon Text"/>
    <w:basedOn w:val="style0"/>
    <w:next w:val="style40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41" w:type="paragraph">
    <w:name w:val="List Paragraph"/>
    <w:basedOn w:val="style0"/>
    <w:next w:val="style41"/>
    <w:pPr>
      <w:ind w:hanging="0" w:left="720" w:right="0"/>
    </w:pPr>
    <w:rPr/>
  </w:style>
  <w:style w:styleId="style42" w:type="paragraph">
    <w:name w:val="Corpo de texto recuado"/>
    <w:basedOn w:val="style0"/>
    <w:next w:val="style42"/>
    <w:pPr>
      <w:spacing w:after="120" w:before="0"/>
      <w:ind w:hanging="0" w:left="283" w:right="0"/>
    </w:pPr>
    <w:rPr/>
  </w:style>
  <w:style w:styleId="style43" w:type="paragraph">
    <w:name w:val="Body Text 2"/>
    <w:basedOn w:val="style0"/>
    <w:next w:val="style43"/>
    <w:pPr>
      <w:spacing w:after="120" w:before="0" w:line="480" w:lineRule="auto"/>
    </w:pPr>
    <w:rPr/>
  </w:style>
  <w:style w:styleId="style44" w:type="paragraph">
    <w:name w:val="Body Text 3"/>
    <w:basedOn w:val="style0"/>
    <w:next w:val="style44"/>
    <w:pPr>
      <w:spacing w:after="120" w:before="0"/>
    </w:pPr>
    <w:rPr>
      <w:sz w:val="16"/>
      <w:szCs w:val="16"/>
    </w:rPr>
  </w:style>
  <w:style w:styleId="style45" w:type="paragraph">
    <w:name w:val="Artigo"/>
    <w:basedOn w:val="style0"/>
    <w:next w:val="style45"/>
    <w:pPr>
      <w:spacing w:after="0" w:before="240" w:line="100" w:lineRule="atLeast"/>
      <w:ind w:firstLine="1134" w:left="0" w:right="0"/>
      <w:jc w:val="both"/>
    </w:pPr>
    <w:rPr>
      <w:rFonts w:ascii="Times New Roman" w:cs="Times New Roman" w:eastAsia="Times New Roman" w:hAnsi="Times New Roman"/>
      <w:sz w:val="26"/>
      <w:szCs w:val="20"/>
    </w:rPr>
  </w:style>
  <w:style w:styleId="style46" w:type="paragraph">
    <w:name w:val="inciso"/>
    <w:basedOn w:val="style0"/>
    <w:next w:val="style46"/>
    <w:pPr>
      <w:spacing w:after="0" w:before="120" w:line="100" w:lineRule="atLeast"/>
      <w:ind w:firstLine="1701" w:left="0" w:right="0"/>
      <w:jc w:val="both"/>
    </w:pPr>
    <w:rPr>
      <w:rFonts w:ascii="Times New Roman" w:cs="Times New Roman" w:eastAsia="Times New Roman" w:hAnsi="Times New Roman"/>
      <w:sz w:val="26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2013-11-04T21:45:00.00Z</dcterms:created>
  <dc:creator>Adm-04</dc:creator>
  <cp:lastModifiedBy>Camara</cp:lastModifiedBy>
  <cp:lastPrinted>2013-12-12T15:16:16.03Z</cp:lastPrinted>
  <dcterms:modified xsi:type="dcterms:W3CDTF">2013-12-09T18:59:00.00Z</dcterms:modified>
  <cp:revision>13</cp:revision>
</cp:coreProperties>
</file>