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ESTADO DO RIO GRANDE DO SUL                                                                       GABINETE DO PREFEITO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1"/>
          <w:szCs w:val="21"/>
          <w:u w:val="single"/>
        </w:rPr>
        <w:t>Lei 1.420, de 06 de Novembro de 2013.</w:t>
      </w:r>
    </w:p>
    <w:p>
      <w:pPr>
        <w:pStyle w:val="style0"/>
        <w:tabs>
          <w:tab w:leader="none" w:pos="4677" w:val="left"/>
          <w:tab w:leader="none" w:pos="8080" w:val="left"/>
        </w:tabs>
        <w:spacing w:line="100" w:lineRule="atLeast"/>
        <w:ind w:firstLine="284" w:left="3969" w:right="-1"/>
        <w:jc w:val="both"/>
      </w:pPr>
      <w:r>
        <w:rPr>
          <w:rFonts w:ascii="Arial" w:cs="Arial" w:hAnsi="Arial"/>
          <w:bCs/>
          <w:sz w:val="21"/>
          <w:szCs w:val="21"/>
        </w:rPr>
        <w:t xml:space="preserve">Autoriza o Município de Arroio do Padre, Poder Executivo, a realizar abertura de Crédito Adicional Especial no Orçamento Municipal. </w:t>
      </w:r>
      <w:r>
        <w:rPr>
          <w:rFonts w:ascii="Arial" w:cs="Arial" w:eastAsia="Calibri" w:hAnsi="Arial"/>
          <w:sz w:val="21"/>
          <w:szCs w:val="21"/>
        </w:rPr>
        <w:t xml:space="preserve"> </w:t>
      </w:r>
    </w:p>
    <w:p>
      <w:pPr>
        <w:pStyle w:val="style0"/>
        <w:tabs>
          <w:tab w:leader="none" w:pos="4677" w:val="left"/>
          <w:tab w:leader="none" w:pos="8080" w:val="left"/>
        </w:tabs>
        <w:spacing w:line="100" w:lineRule="atLeast"/>
        <w:ind w:firstLine="284" w:left="3969" w:right="-1"/>
        <w:jc w:val="both"/>
      </w:pPr>
      <w:r>
        <w:rPr>
          <w:sz w:val="21"/>
          <w:szCs w:val="21"/>
        </w:rPr>
      </w:r>
    </w:p>
    <w:p>
      <w:pPr>
        <w:pStyle w:val="style0"/>
        <w:tabs>
          <w:tab w:leader="none" w:pos="737" w:val="left"/>
          <w:tab w:leader="none" w:pos="4140" w:val="left"/>
        </w:tabs>
        <w:spacing w:line="100" w:lineRule="atLeast"/>
        <w:ind w:firstLine="15" w:left="29" w:right="-1"/>
        <w:jc w:val="both"/>
      </w:pPr>
      <w:r>
        <w:rPr>
          <w:rFonts w:ascii="Arial" w:cs="Arial" w:eastAsia="Calibri" w:hAnsi="Arial"/>
          <w:sz w:val="21"/>
          <w:szCs w:val="21"/>
        </w:rPr>
        <w:t xml:space="preserve">     </w:t>
      </w:r>
      <w:r>
        <w:rPr>
          <w:rFonts w:ascii="Arial" w:cs="Arial" w:eastAsia="Calibri" w:hAnsi="Arial"/>
          <w:sz w:val="21"/>
          <w:szCs w:val="21"/>
        </w:rPr>
        <w:t xml:space="preserve">O Prefeito Municipal de Arroio do Padre, Sr. Leonir Aldrighi Baschi, faz saber que a Câmara Municipal aprovou e eu sanciono e promulgo a seguinte Lei,            </w:t>
      </w:r>
    </w:p>
    <w:p>
      <w:pPr>
        <w:pStyle w:val="style0"/>
        <w:spacing w:line="100" w:lineRule="atLeast"/>
        <w:jc w:val="both"/>
      </w:pPr>
      <w:r>
        <w:rPr>
          <w:sz w:val="21"/>
          <w:szCs w:val="21"/>
        </w:rPr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sz w:val="21"/>
          <w:szCs w:val="21"/>
          <w:lang w:eastAsia="en-US"/>
        </w:rPr>
        <w:t>Art. 1</w:t>
      </w:r>
      <w:r>
        <w:rPr>
          <w:rFonts w:ascii="Arial" w:cs="Arial" w:eastAsia="Calibri" w:hAnsi="Arial"/>
          <w:sz w:val="21"/>
          <w:szCs w:val="21"/>
          <w:lang w:eastAsia="en-US"/>
        </w:rPr>
        <w:t>° Fica autorizado o Município de Arroio do Padre, Poder Executivo, a realizar a abertura de Crédito Adicional Especial no Orçamento do Município para o exercício de 2013, nos seguintes programas de trabalho e respectivas categorias econômicas e conforme as quantias indicadas: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04 – Serviços de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17 –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512 – Saneamento Básico Urbano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0115 – Atenção ao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1.029 – Melhorias na Captação de Água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3.3.90.30.00.00.00 – Material de Consumo. R$ 22.730,00 (vinte e dois mil, setecentos e trinta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Fonte de Recurso: 1041 – Ampliação da Rede de Água – Santa Coleta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04 – Serviços de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17 –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512 – Saneamento Básico Urbano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0115 – Atenção ao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1.029 – Melhorias na Captação de Água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3.3.90.30.00.00.00 – Material de Consumo. R$ 10.500,00 (dez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Valor Total do Crédito Adicional Especial: R$ 33.230,00 (trinta e três mil, duzentos e trinta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sz w:val="21"/>
          <w:szCs w:val="21"/>
          <w:lang w:eastAsia="en-US"/>
        </w:rPr>
        <w:t xml:space="preserve">Art. 2º </w:t>
      </w:r>
      <w:r>
        <w:rPr>
          <w:rFonts w:ascii="Arial" w:cs="Arial" w:eastAsia="Calibri" w:hAnsi="Arial"/>
          <w:sz w:val="21"/>
          <w:szCs w:val="21"/>
          <w:lang w:eastAsia="en-US"/>
        </w:rPr>
        <w:t>Servirão de cobertura para o Crédito Adicional Especial de que trata o art. 1º desta Lei recursos provenientes da redução das seguintes dotações orçamentárias: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04 – Serviços de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17 –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512 – Saneamento Básico Urbano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0115 – Atenção ao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1.029 – Melhorias na Captação de Água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3.3.90.39.00.00.00 – Outros Serviços de Terceiros – Pessoa Jurídica. R$ 22.730,00 (vinte e dois mil, setecentos e trinta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Fonte de Recurso: 1041 – Ampliação da Rede de Água – Santa Coleta</w:t>
      </w:r>
    </w:p>
    <w:p>
      <w:pPr>
        <w:pStyle w:val="style0"/>
        <w:spacing w:line="100" w:lineRule="atLeast"/>
        <w:ind w:firstLine="567" w:left="4111" w:right="0"/>
        <w:jc w:val="both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03 – Fomento ao Desenvolvimento Econômico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15 – Urbanismo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451 – Infraestrutura Urbana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0113 – Serviços Públicos Essenciais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1.075 – Construção e Melhorias nos Prédios Públicos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3.3.90.39.00.00.00 – Outros Serviços de Terceiros – Pessoa Jurídica. R$ 5.500,00 (cinco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04 – Serviços de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17 –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512 – Saneamento Básico Urbano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0115 – Atenção ao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1.029 – Melhorias na Captação de Água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3.3.90.36.00.00.00 – Outros Serviços de Terceiros – Pessoa Física. R$ 1.000,00 (hum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07 –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2.061 – Implantar o Paisagismo no Município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3.3.90.30.00.00.00 – Material de Consumo. R$ 2.000,00 (dois mil reais)</w:t>
      </w:r>
    </w:p>
    <w:p>
      <w:pPr>
        <w:pStyle w:val="style0"/>
        <w:tabs>
          <w:tab w:leader="none" w:pos="708" w:val="left"/>
          <w:tab w:leader="none" w:pos="5460" w:val="left"/>
        </w:tabs>
        <w:jc w:val="both"/>
      </w:pPr>
      <w:r>
        <w:rPr>
          <w:rFonts w:ascii="Arial" w:cs="Arial" w:hAnsi="Arial"/>
          <w:sz w:val="21"/>
          <w:szCs w:val="21"/>
        </w:rPr>
        <w:t>Fonte de Recursos: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07 –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2.061 – Implantar o Paisagismo no Município– Outros Serviços de Terceiros – Pessoa Jurídica. R$ 2.000,00 (dois mil reais)Fonte de Recursos: 0001 – Livre</w:t>
      </w:r>
    </w:p>
    <w:p>
      <w:pPr>
        <w:pStyle w:val="style0"/>
        <w:tabs>
          <w:tab w:leader="none" w:pos="708" w:val="left"/>
          <w:tab w:leader="none" w:pos="5460" w:val="left"/>
        </w:tabs>
        <w:jc w:val="both"/>
      </w:pPr>
      <w:r>
        <w:rPr>
          <w:rFonts w:ascii="Arial" w:cs="Arial" w:hAnsi="Arial"/>
          <w:sz w:val="21"/>
          <w:szCs w:val="21"/>
        </w:rPr>
        <w:t>Valor total das reduções orçamentárias: R$ 33.230,00 (trinta e três mil, duzentos e trinta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3º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Esta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Lei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entra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em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vigor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na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data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de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sua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publicação.</w:t>
      </w:r>
    </w:p>
    <w:p>
      <w:pPr>
        <w:pStyle w:val="style0"/>
        <w:jc w:val="right"/>
      </w:pPr>
      <w:r>
        <w:rPr>
          <w:rFonts w:ascii="Arial" w:cs="Arial" w:hAnsi="Arial"/>
          <w:sz w:val="21"/>
          <w:szCs w:val="21"/>
        </w:rPr>
        <w:t xml:space="preserve">Arroio do Padre ,06 de novembro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spacing w:line="100" w:lineRule="atLeast"/>
        <w:ind w:hanging="0" w:left="0" w:right="-1"/>
        <w:jc w:val="right"/>
      </w:pPr>
      <w:r>
        <w:rPr>
          <w:sz w:val="21"/>
          <w:szCs w:val="21"/>
        </w:rPr>
      </w:r>
    </w:p>
    <w:sectPr>
      <w:headerReference r:id="rId3" w:type="default"/>
      <w:type w:val="nextPage"/>
      <w:pgSz w:h="16838" w:w="11906"/>
      <w:pgMar w:bottom="1276" w:footer="0" w:gutter="0" w:header="708" w:left="1080" w:right="1080" w:top="1418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9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character">
    <w:name w:val="Símbolos de numeração"/>
    <w:next w:val="style27"/>
    <w:rPr/>
  </w:style>
  <w:style w:styleId="style28" w:type="paragraph">
    <w:name w:val="Título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9" w:type="paragraph">
    <w:name w:val="Corpo de texto"/>
    <w:basedOn w:val="style0"/>
    <w:next w:val="style29"/>
    <w:pPr>
      <w:spacing w:after="120" w:before="0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Legenda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Título principal"/>
    <w:basedOn w:val="style0"/>
    <w:next w:val="style34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4" w:type="paragraph">
    <w:name w:val="Subtítulo"/>
    <w:basedOn w:val="style28"/>
    <w:next w:val="style29"/>
    <w:pPr>
      <w:jc w:val="center"/>
    </w:pPr>
    <w:rPr>
      <w:i/>
      <w:iCs/>
      <w:sz w:val="28"/>
      <w:szCs w:val="28"/>
    </w:rPr>
  </w:style>
  <w:style w:styleId="style35" w:type="paragraph">
    <w:name w:val="caption"/>
    <w:basedOn w:val="style0"/>
    <w:next w:val="style3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6" w:type="paragraph">
    <w:name w:val="Cabeçalho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Rodapé"/>
    <w:basedOn w:val="style0"/>
    <w:next w:val="style3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9" w:type="paragraph">
    <w:name w:val="List Paragraph"/>
    <w:basedOn w:val="style0"/>
    <w:next w:val="style3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2013-10-25T15:23:00.00Z</dcterms:created>
  <dc:creator>Adm-04</dc:creator>
  <cp:lastModifiedBy>Camara</cp:lastModifiedBy>
  <cp:lastPrinted>2013-10-21T15:07:00.00Z</cp:lastPrinted>
  <dcterms:modified xsi:type="dcterms:W3CDTF">2013-11-05T10:49:00.00Z</dcterms:modified>
  <cp:revision>14</cp:revision>
</cp:coreProperties>
</file>