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tabs>
          <w:tab w:leader="none" w:pos="708" w:val="left"/>
        </w:tabs>
        <w:spacing w:after="0" w:before="0" w:line="100" w:lineRule="atLeast"/>
        <w:jc w:val="center"/>
      </w:pPr>
      <w:r>
        <w:rPr>
          <w:rFonts w:ascii="Arial" w:cs="Arial" w:hAnsi="Arial"/>
          <w:b/>
          <w:bCs/>
          <w:sz w:val="28"/>
          <w:szCs w:val="28"/>
          <w:u w:val="none"/>
        </w:rPr>
        <w:t>PREFEITURA DE ARROIO DO PADRE                                               ESTADO DO RIO GRANDE DO SUL                                    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 w:val="false"/>
          <w:bCs w:val="false"/>
          <w:u w:val="none"/>
        </w:rPr>
        <w:t xml:space="preserve">                                                                               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 w:val="false"/>
          <w:bCs w:val="false"/>
          <w:u w:val="none"/>
        </w:rPr>
        <w:t xml:space="preserve">                                                                                  </w:t>
      </w:r>
      <w:r>
        <w:rPr>
          <w:rFonts w:ascii="Arial" w:cs="Arial" w:hAnsi="Arial"/>
          <w:b w:val="false"/>
          <w:bCs w:val="false"/>
          <w:u w:val="single"/>
        </w:rPr>
        <w:t>Lei 1.418, de 06 de Novembro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spacing w:line="100" w:lineRule="atLeast"/>
        <w:ind w:hanging="0" w:left="44" w:right="0"/>
        <w:jc w:val="both"/>
      </w:pPr>
      <w:r>
        <w:rPr>
          <w:rFonts w:ascii="Arial" w:cs="Arial" w:hAnsi="Arial"/>
        </w:rPr>
        <w:t xml:space="preserve">    </w:t>
      </w:r>
    </w:p>
    <w:p>
      <w:pPr>
        <w:pStyle w:val="style0"/>
        <w:spacing w:line="100" w:lineRule="atLeast"/>
        <w:ind w:hanging="0" w:left="44" w:right="0"/>
        <w:jc w:val="both"/>
      </w:pPr>
      <w:r>
        <w:rPr>
          <w:rFonts w:ascii="Arial" w:cs="Arial" w:hAnsi="Arial"/>
        </w:rPr>
        <w:t xml:space="preserve"> 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nos seguintes programas de trabalho e respectivas categorias econômicas e conforme as quantias indicadas: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03 – Secretaria de Administração, Planejamento, Finanças, Gestão e Tributos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01 - Secretaria de Administração, Planejamento, Finanças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121 – Planejamento e Orçamento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0003 – Manutenção dos Serviços Administrativos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2009 – Manutenção das Atividades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3.1.90.11.00.00.00 – Vencimentos e Vantagens Fixas. R$ 53.000,00 (cinquenta e três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3.1.90.13.00.00.00 – Obrigações Patronais. R$ 9.000,00 (nove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3.3.90.39.00.00.00 – Outros Serviços de Terceiros – Pessoa Jurídica. R$ 15.000,00 (quinze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0001 -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03 – Secretaria de Administração, Planejamento, Finanças, Gestão e Tributos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01 - Secretaria de Administração, Planejamento, Finanças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28 – Encargos Especiais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846 – Outros Encargos Especiais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0000 – Operação Especial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0.004 – Pasep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3.3.90.47.00.00.00 – Obrigações Tributárias e Contributivas. R$ 8.000,00 (oito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</w:pPr>
      <w:r>
        <w:rPr>
          <w:rFonts w:ascii="Arial" w:cs="Arial" w:eastAsia="Arial" w:hAnsi="Arial"/>
        </w:rPr>
        <w:t>Valor Total do Crédito Adicional Suplementar: R$ 85.000,00 (oitenta e 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03 – Secretaria de Administração, Planejamento, Finanças, Gestão e Tributos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01 - Secretaria de Administração, Planejamento, Finanças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121 – Planejamento e Orçamento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0003 – Manutenção dos Serviços Administrativos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1.018 – Adequações e Melhorias no Prédio do Centro Administrativo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4.4.90.51.00.00.00 – Obras e Instalações. R$ 5.000,00 (cinco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03 – Secretaria de Administração, Planejamento, Finanças, Gestão e Tributos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01 - Secretaria de Administração, Planejamento, Finanças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121 – Planejamento e Orçamento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0003 – Manutenção dos Serviços Administrativos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2009 – Manutenção das Atividades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3.3.90.36.00.00.00 – Outros Serviços de Terceiros – Pessoa Física.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3.3.90.46.00.00.00 – Auxílio Alimentação. R$ 7.000,00 (sete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3.3.90.49.00.00.00 – Auxílio Transporte.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03 – Secretaria de Administração, Planejamento, Finanças, Gestão e Tributos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03 – Setor de Tributos e Arrecadação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125 – Normatização e Fiscalização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0101 – Gestão da Política Tributária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2.011 – Manutenção das Atividades Tributárias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3.1.90.11.00.00.00 – Vencimentos e Vantagens Fixas.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3.3.90.46.00.00.00 – Auxílio Alimentação.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02 -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122 – Administração Geral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0002 – Gestão Administrativa Central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2.003 – Manutenção das Atividades do Gabinete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3.1.90.11.00.00.00 – Vencimentos e Vantagens Fixas. R$15.000,00 (quinze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3.3.90.14.00.00.00 – Diárias – Pessoal Civil. R$ 4.000,00 (quatro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3.3.90.33.00.00.00 – Passagens e Despesas com Locomoção. R$ 5.000,00 (cinco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3.3.90.46.00.00.00 – Auxílio Alimentação.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3.3.90.47.00.00.00 – Obrigações Tributárias e Contributivas.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4.4.90.52.00.00.00 – Equipamentos e Material Permanente.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02 -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122 – Administração Geral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0002 – Gestão Administrativa Central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2.005 – Recepções e Eventos Especiais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3.3.90.39.00.00.00 – Outros Serviços de Terceiros – Pessoa Jurídica.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4.4.90.52.00.00.00 – Equipamentos e Material Permanente. R$ 35.000,00 (trinta e 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</w:rPr>
        <w:t>Valor total das reduções orçamentárias: R$ 85.000,00 (oitenta e 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,06 de novembro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spacing w:line="100" w:lineRule="atLeast"/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851" w:footer="0" w:gutter="0" w:header="708" w:left="1080" w:right="1080" w:top="993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2013-10-25T21:50:00.00Z</dcterms:created>
  <dc:creator>Adm-04</dc:creator>
  <cp:lastModifiedBy>Camara</cp:lastModifiedBy>
  <cp:lastPrinted>2013-10-21T15:07:00.00Z</cp:lastPrinted>
  <dcterms:modified xsi:type="dcterms:W3CDTF">2013-11-05T10:51:00.00Z</dcterms:modified>
  <cp:revision>10</cp:revision>
</cp:coreProperties>
</file>