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      ESTADO DO RIO GRANDE DO SUL                                                               GABINETE DO PREFEITO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sz w:val="18"/>
          <w:szCs w:val="18"/>
          <w:u w:val="single"/>
        </w:rPr>
        <w:t>Lei 1.387, de 28 de Agosto de 2013.</w:t>
      </w:r>
    </w:p>
    <w:p>
      <w:pPr>
        <w:pStyle w:val="style0"/>
        <w:ind w:firstLine="567" w:left="4111" w:right="0"/>
        <w:jc w:val="both"/>
      </w:pPr>
      <w:r>
        <w:rPr>
          <w:rFonts w:ascii="Arial" w:cs="Arial" w:hAnsi="Arial"/>
          <w:sz w:val="18"/>
          <w:szCs w:val="18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ind w:firstLine="45" w:left="-15" w:right="0"/>
        <w:jc w:val="both"/>
      </w:pPr>
      <w:r>
        <w:rPr>
          <w:rFonts w:ascii="Arial" w:cs="Arial" w:hAnsi="Arial"/>
          <w:sz w:val="18"/>
          <w:szCs w:val="18"/>
        </w:rPr>
        <w:t xml:space="preserve">      </w:t>
      </w:r>
      <w:r>
        <w:rPr>
          <w:rFonts w:ascii="Arial" w:cs="Arial" w:hAnsi="Arial"/>
          <w:sz w:val="18"/>
          <w:szCs w:val="18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18"/>
          <w:szCs w:val="18"/>
        </w:rPr>
        <w:t>Art.</w:t>
      </w:r>
      <w:r>
        <w:rPr>
          <w:rFonts w:ascii="Arial" w:cs="Arial" w:eastAsia="Arial" w:hAnsi="Arial"/>
          <w:b/>
          <w:sz w:val="18"/>
          <w:szCs w:val="18"/>
        </w:rPr>
        <w:t xml:space="preserve"> </w:t>
      </w:r>
      <w:r>
        <w:rPr>
          <w:rFonts w:ascii="Arial" w:cs="Arial" w:hAnsi="Arial"/>
          <w:b/>
          <w:sz w:val="18"/>
          <w:szCs w:val="18"/>
        </w:rPr>
        <w:t>1º</w:t>
      </w:r>
      <w:r>
        <w:rPr>
          <w:rFonts w:ascii="Arial" w:cs="Arial" w:eastAsia="Arial" w:hAnsi="Arial"/>
          <w:sz w:val="18"/>
          <w:szCs w:val="18"/>
        </w:rPr>
        <w:t xml:space="preserve"> Fica autorizado o Município de Arroio do Padre, Poder Executivo, a realizar abertura de Crédito Adicional Suplementar no Orçamento do Município para o exercício de 2013, no seguinte programa de trabalho e respectiva categoria econômica conforme quantia indicada: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 xml:space="preserve">06 - Secretaria da Agricultura, Meio Ambiente e Desenvolvimento. 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>02 - Serviços de Atendimento ao Produtor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>20 - Agricultura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>601 - Promoção da Produção Vegetal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>0112 – Assistência ao Produtor Rural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>2.043 – Projeto de Incentivo Agrícola</w:t>
      </w:r>
    </w:p>
    <w:p>
      <w:pPr>
        <w:pStyle w:val="style0"/>
        <w:spacing w:after="0" w:before="0"/>
        <w:jc w:val="both"/>
      </w:pPr>
      <w:r>
        <w:rPr>
          <w:rFonts w:ascii="Arial" w:cs="Arial" w:eastAsia="Calibri" w:hAnsi="Arial"/>
          <w:sz w:val="18"/>
          <w:szCs w:val="18"/>
          <w:lang w:eastAsia="en-US"/>
        </w:rPr>
        <w:t>3.3.90.32.00.00.00 - Material de Distribuição Gratuita.</w:t>
      </w:r>
      <w:r>
        <w:rPr>
          <w:rFonts w:ascii="Arial" w:cs="Arial" w:eastAsia="Arial" w:hAnsi="Arial"/>
          <w:sz w:val="18"/>
          <w:szCs w:val="18"/>
        </w:rPr>
        <w:t xml:space="preserve"> R$ 35.000,00 (trinta e 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18"/>
          <w:szCs w:val="18"/>
        </w:rPr>
        <w:t>Art.</w:t>
      </w:r>
      <w:r>
        <w:rPr>
          <w:rFonts w:ascii="Arial" w:cs="Arial" w:eastAsia="Arial" w:hAnsi="Arial"/>
          <w:b/>
          <w:sz w:val="18"/>
          <w:szCs w:val="18"/>
        </w:rPr>
        <w:t xml:space="preserve"> </w:t>
      </w:r>
      <w:r>
        <w:rPr>
          <w:rFonts w:ascii="Arial" w:cs="Arial" w:hAnsi="Arial"/>
          <w:b/>
          <w:sz w:val="18"/>
          <w:szCs w:val="18"/>
        </w:rPr>
        <w:t>2º</w:t>
      </w:r>
      <w:r>
        <w:rPr>
          <w:rFonts w:ascii="Arial" w:cs="Arial" w:eastAsia="Arial" w:hAnsi="Arial"/>
          <w:sz w:val="18"/>
          <w:szCs w:val="18"/>
        </w:rPr>
        <w:t xml:space="preserve"> Servirão de cobertura para o Crédito Adicional Suplementar de que trata o art. 1° desta Lei,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1.087 - Aquisição de 01 Caminhão Caçamba Novo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4.4.90.52.00.00.00 – Equipamentos e Material Permanente. R$ 35.000,00 (trinta e 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  <w:sz w:val="18"/>
          <w:szCs w:val="18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18"/>
          <w:szCs w:val="18"/>
        </w:rPr>
        <w:t>Art.</w:t>
      </w:r>
      <w:r>
        <w:rPr>
          <w:rFonts w:ascii="Arial" w:cs="Arial" w:eastAsia="Arial" w:hAnsi="Arial"/>
          <w:b/>
          <w:sz w:val="18"/>
          <w:szCs w:val="18"/>
        </w:rPr>
        <w:t xml:space="preserve"> </w:t>
      </w:r>
      <w:r>
        <w:rPr>
          <w:rFonts w:ascii="Arial" w:cs="Arial" w:hAnsi="Arial"/>
          <w:b/>
          <w:sz w:val="18"/>
          <w:szCs w:val="18"/>
        </w:rPr>
        <w:t>3º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Esta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Lei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entra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em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vigor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na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data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de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sua</w:t>
      </w:r>
      <w:r>
        <w:rPr>
          <w:rFonts w:ascii="Arial" w:cs="Arial" w:eastAsia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publicação.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sz w:val="18"/>
          <w:szCs w:val="18"/>
        </w:rPr>
        <w:t>Sala de Sessões , 26 de agosto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18"/>
          <w:szCs w:val="18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18"/>
          <w:szCs w:val="18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18"/>
          <w:szCs w:val="18"/>
        </w:rPr>
        <w:t>Secretário de Administração, Planejamento,                                                                                                                         Finanças,Gestão e tributos</w:t>
      </w:r>
    </w:p>
    <w:p>
      <w:pPr>
        <w:pStyle w:val="style0"/>
        <w:spacing w:after="0" w:before="0" w:line="100" w:lineRule="atLeast"/>
        <w:jc w:val="center"/>
      </w:pPr>
      <w:r>
        <w:rPr>
          <w:sz w:val="18"/>
          <w:szCs w:val="18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18"/>
          <w:szCs w:val="1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18"/>
          <w:szCs w:val="18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18"/>
          <w:szCs w:val="18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18"/>
          <w:szCs w:val="18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jc w:val="center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2013-08-19T17:19:00.00Z</dcterms:created>
  <dc:creator>Adm-04</dc:creator>
  <cp:lastModifiedBy>Camara</cp:lastModifiedBy>
  <cp:lastPrinted>2013-08-28T10:37:45.21Z</cp:lastPrinted>
  <dcterms:modified xsi:type="dcterms:W3CDTF">2013-08-27T14:43:00.00Z</dcterms:modified>
  <cp:revision>8</cp:revision>
</cp:coreProperties>
</file>