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/>
      </w:r>
    </w:p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902335" cy="94107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2335" cy="941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PREFEITURA DE ARROIO DO PADRE                                                      ESTADO DO RIO GRANDE DO SUL                                                          GABINETE DO PREFEITO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1.383, de 14 de Agosto de 2013.</w:t>
      </w:r>
    </w:p>
    <w:p>
      <w:pPr>
        <w:pStyle w:val="style0"/>
        <w:tabs>
          <w:tab w:leader="none" w:pos="3543" w:val="left"/>
          <w:tab w:leader="none" w:pos="6378" w:val="left"/>
          <w:tab w:leader="none" w:pos="11130" w:val="left"/>
        </w:tabs>
        <w:spacing w:after="0" w:before="0" w:line="100" w:lineRule="atLeast"/>
        <w:ind w:firstLine="284" w:left="2835" w:right="0"/>
        <w:jc w:val="both"/>
      </w:pPr>
      <w:r>
        <w:rPr>
          <w:rFonts w:ascii="Arial" w:cs="Arial" w:eastAsia="Calibri" w:hAnsi="Arial"/>
          <w:szCs w:val="24"/>
          <w:lang w:eastAsia="en-US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783" w:val="left"/>
          <w:tab w:leader="none" w:pos="858" w:val="left"/>
          <w:tab w:leader="none" w:pos="5610" w:val="left"/>
        </w:tabs>
        <w:spacing w:after="0" w:before="0" w:line="100" w:lineRule="atLeast"/>
        <w:ind w:hanging="0" w:left="75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 </w:t>
      </w:r>
    </w:p>
    <w:p>
      <w:pPr>
        <w:pStyle w:val="style0"/>
        <w:tabs>
          <w:tab w:leader="none" w:pos="783" w:val="left"/>
          <w:tab w:leader="none" w:pos="858" w:val="left"/>
          <w:tab w:leader="none" w:pos="5610" w:val="left"/>
        </w:tabs>
        <w:spacing w:after="0" w:before="0" w:line="100" w:lineRule="atLeast"/>
        <w:ind w:hanging="0" w:left="75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  </w:t>
      </w:r>
      <w:r>
        <w:rPr>
          <w:rFonts w:ascii="Arial" w:cs="Arial" w:eastAsia="Calibri" w:hAnsi="Arial"/>
          <w:szCs w:val="24"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1º</w:t>
      </w:r>
      <w:r>
        <w:rPr>
          <w:rFonts w:ascii="Arial" w:cs="Arial" w:eastAsia="Calibri" w:hAnsi="Arial"/>
          <w:szCs w:val="24"/>
          <w:lang w:eastAsia="en-US"/>
        </w:rPr>
        <w:t xml:space="preserve"> A presente Lei trata da contratação por tempo determinado de servidor que desempenhará suas funções junto a Secretaria de Obras, Infraestrutura e Saneamento.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2º</w:t>
      </w:r>
      <w:r>
        <w:rPr>
          <w:rFonts w:ascii="Arial" w:cs="Arial" w:eastAsia="Calibri" w:hAnsi="Arial"/>
          <w:szCs w:val="24"/>
          <w:lang w:eastAsia="en-US"/>
        </w:rPr>
        <w:t xml:space="preserve"> Fica autorizado o Município de Arroio do Padre, Poder Executivo a contratar servidor pelo prazo de 1 (um) mês, prorrogável por igual período, para desempenhar a função de Condutor de Máquinas e/ou veículos junto a Secretaria Obras, Infraestrutura e Saneamento, conforme quadro abaixo: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815"/>
        <w:gridCol w:w="1700"/>
        <w:gridCol w:w="2462"/>
        <w:gridCol w:w="1951"/>
        <w:gridCol w:w="1791"/>
      </w:tblGrid>
      <w:tr>
        <w:trPr>
          <w:cantSplit w:val="false"/>
        </w:trPr>
        <w:tc>
          <w:tcPr>
            <w:tcW w:type="dxa" w:w="8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Item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Quantidade</w:t>
            </w:r>
          </w:p>
        </w:tc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Denominação</w:t>
            </w:r>
          </w:p>
        </w:tc>
        <w:tc>
          <w:tcPr>
            <w:tcW w:type="dxa" w:w="1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Remuneração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Carga Horária     Semanal</w:t>
            </w:r>
          </w:p>
        </w:tc>
      </w:tr>
      <w:tr>
        <w:trPr>
          <w:cantSplit w:val="false"/>
        </w:trPr>
        <w:tc>
          <w:tcPr>
            <w:tcW w:type="dxa" w:w="8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01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01 profissional</w:t>
            </w:r>
          </w:p>
        </w:tc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Condutor de máquinas e/ou veículos</w:t>
            </w:r>
          </w:p>
        </w:tc>
        <w:tc>
          <w:tcPr>
            <w:tcW w:type="dxa" w:w="1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R$ 985,35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Parágrafo Único</w:t>
      </w:r>
      <w:r>
        <w:rPr>
          <w:rFonts w:ascii="Arial" w:cs="Arial" w:eastAsia="Calibri" w:hAnsi="Arial"/>
          <w:szCs w:val="24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3º</w:t>
      </w:r>
      <w:r>
        <w:rPr>
          <w:rFonts w:ascii="Arial" w:cs="Arial" w:eastAsia="Calibri" w:hAnsi="Arial"/>
          <w:szCs w:val="24"/>
          <w:lang w:eastAsia="en-US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4º</w:t>
      </w:r>
      <w:r>
        <w:rPr>
          <w:rFonts w:ascii="Arial" w:cs="Arial" w:eastAsia="Calibri" w:hAnsi="Arial"/>
          <w:szCs w:val="24"/>
          <w:lang w:eastAsia="en-US"/>
        </w:rPr>
        <w:t xml:space="preserve"> A forma de contratação será realizada em caráter administrativo, tendo o contratado os direitos e deveres, estabelecidos no Regime Jurídico, aplicável aos servidores municipais.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5º </w:t>
      </w:r>
      <w:r>
        <w:rPr>
          <w:rFonts w:ascii="Arial" w:cs="Arial" w:eastAsia="Calibri" w:hAnsi="Arial"/>
          <w:szCs w:val="24"/>
          <w:lang w:eastAsia="en-US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6º</w:t>
      </w:r>
      <w:r>
        <w:rPr>
          <w:rFonts w:ascii="Arial" w:cs="Arial" w:eastAsia="Calibri" w:hAnsi="Arial"/>
          <w:szCs w:val="24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Obras, Infraestrutura e Saneamento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7º</w:t>
      </w:r>
      <w:r>
        <w:rPr>
          <w:rFonts w:ascii="Arial" w:cs="Arial" w:eastAsia="Calibri" w:hAnsi="Arial"/>
          <w:szCs w:val="24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8º </w:t>
      </w:r>
      <w:r>
        <w:rPr>
          <w:rFonts w:ascii="Arial" w:cs="Arial" w:eastAsia="Calibri" w:hAnsi="Arial"/>
          <w:szCs w:val="24"/>
          <w:lang w:eastAsia="en-US"/>
        </w:rPr>
        <w:t>Será atribuída gratificação no valor de 10% do vencimento básico, ao Condutor de Máquinas e/ou Veículos pesados, mediante comprovação de curso de aperfeiçoamento para operar com as máquinas pesadas e enquanto estiver desempenhando a função, conforme determina a Lei 961, de 30 de outubro de 2009.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9º</w:t>
      </w:r>
      <w:r>
        <w:rPr>
          <w:rFonts w:ascii="Arial" w:cs="Arial" w:eastAsia="Calibri" w:hAnsi="Arial"/>
          <w:szCs w:val="24"/>
          <w:lang w:eastAsia="en-US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</w:t>
      </w:r>
      <w:r>
        <w:rPr>
          <w:rFonts w:ascii="Arial" w:cs="Arial" w:eastAsia="Calibri" w:hAnsi="Arial"/>
          <w:b/>
          <w:szCs w:val="24"/>
          <w:u w:val="single"/>
          <w:lang w:eastAsia="en-US"/>
        </w:rPr>
        <w:t>10</w:t>
      </w:r>
      <w:r>
        <w:rPr>
          <w:rFonts w:ascii="Arial" w:cs="Arial" w:eastAsia="Calibri" w:hAnsi="Arial"/>
          <w:szCs w:val="24"/>
          <w:lang w:eastAsia="en-US"/>
        </w:rPr>
        <w:t xml:space="preserve"> Esta Lei entra em vigor na data de sua publicação.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14 de agosto  de 2013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jc w:val="lef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ANEXO I DA LEI 1.383/2013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PADRÃO: SE 29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firstLine="1134" w:left="835" w:right="0"/>
        <w:jc w:val="center"/>
      </w:pPr>
      <w:r>
        <w:rPr/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firstLine="1134" w:left="835" w:right="0"/>
        <w:jc w:val="center"/>
      </w:pPr>
      <w:r>
        <w:rPr/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ATRIBUIÇÕES: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/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2804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Descrição Sintética</w:t>
      </w:r>
      <w:r>
        <w:rPr>
          <w:rFonts w:ascii="Arial" w:cs="Arial" w:eastAsia="Calibri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2804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/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2804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 xml:space="preserve"> </w:t>
      </w:r>
      <w:r>
        <w:rPr>
          <w:rFonts w:ascii="Arial" w:cs="Arial" w:eastAsia="Calibri" w:hAnsi="Arial"/>
          <w:sz w:val="24"/>
          <w:szCs w:val="24"/>
          <w:lang w:eastAsia="en-US"/>
        </w:rPr>
        <w:tab/>
      </w:r>
      <w:r>
        <w:rPr>
          <w:rFonts w:ascii="Arial" w:cs="Arial" w:eastAsia="Calibri" w:hAnsi="Arial"/>
          <w:b/>
          <w:sz w:val="24"/>
          <w:szCs w:val="24"/>
          <w:lang w:eastAsia="en-US"/>
        </w:rPr>
        <w:t>Descrição Analítica</w:t>
      </w:r>
      <w:r>
        <w:rPr>
          <w:rFonts w:ascii="Arial" w:cs="Arial" w:eastAsia="Calibri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2804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/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Condições de Trabalho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b)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firstLine="1134" w:left="835" w:right="0"/>
        <w:jc w:val="both"/>
      </w:pPr>
      <w:r>
        <w:rPr/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Requisitos para Provimento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Idade: Mínima de 18 anos;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b) 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style0"/>
        <w:tabs>
          <w:tab w:leader="none" w:pos="1543" w:val="left"/>
          <w:tab w:leader="none" w:pos="1670" w:val="left"/>
          <w:tab w:leader="none" w:pos="2378" w:val="left"/>
          <w:tab w:leader="none" w:pos="3655" w:val="left"/>
          <w:tab w:leader="none" w:pos="5923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headerReference r:id="rId3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Título principal"/>
    <w:basedOn w:val="style0"/>
    <w:next w:val="style28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8" w:type="paragraph">
    <w:name w:val="Subtítulo"/>
    <w:basedOn w:val="style22"/>
    <w:next w:val="style23"/>
    <w:pPr>
      <w:jc w:val="center"/>
    </w:pPr>
    <w:rPr>
      <w:i/>
      <w:iCs/>
      <w:sz w:val="28"/>
      <w:szCs w:val="28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Cabeçalho"/>
    <w:basedOn w:val="style0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1" w:type="paragraph">
    <w:name w:val="Rodapé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2013-08-08T11:51:00.00Z</dcterms:created>
  <dc:creator>Adm-04</dc:creator>
  <cp:lastModifiedBy>Camara</cp:lastModifiedBy>
  <cp:lastPrinted>2013-08-13T11:49:00.00Z</cp:lastPrinted>
  <dcterms:modified xsi:type="dcterms:W3CDTF">2013-08-13T11:49:00.00Z</dcterms:modified>
  <cp:revision>3</cp:revision>
</cp:coreProperties>
</file>