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rPr>
          <w:rFonts w:ascii="Arial" w:hAnsi="Arial" w:cs="Arial"/>
        </w:rPr>
      </w:pPr>
      <w:r>
        <w:rPr>
          <w:rFonts w:cs="Arial" w:ascii="Arial" w:hAnsi="Arial"/>
        </w:rPr>
        <w:drawing>
          <wp:anchor behindDoc="0" distT="0" distB="0" distL="0" distR="0" simplePos="0" locked="0" layoutInCell="1" allowOverlap="1" relativeHeight="2">
            <wp:simplePos x="0" y="0"/>
            <wp:positionH relativeFrom="page">
              <wp:posOffset>3448050</wp:posOffset>
            </wp:positionH>
            <wp:positionV relativeFrom="line">
              <wp:posOffset>635</wp:posOffset>
            </wp:positionV>
            <wp:extent cx="951865" cy="1056640"/>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80" t="-63" r="-80" b="-63"/>
                    <a:stretch>
                      <a:fillRect/>
                    </a:stretch>
                  </pic:blipFill>
                  <pic:spPr bwMode="auto">
                    <a:xfrm>
                      <a:off x="0" y="0"/>
                      <a:ext cx="951865" cy="1056640"/>
                    </a:xfrm>
                    <a:prstGeom prst="rect">
                      <a:avLst/>
                    </a:prstGeom>
                  </pic:spPr>
                </pic:pic>
              </a:graphicData>
            </a:graphic>
          </wp:anchor>
        </w:drawing>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before="0" w:after="0"/>
        <w:jc w:val="center"/>
        <w:rPr>
          <w:rFonts w:ascii="Arial" w:hAnsi="Arial" w:cs="Arial"/>
          <w:b/>
          <w:b/>
        </w:rPr>
      </w:pPr>
      <w:r>
        <w:rPr>
          <w:rFonts w:cs="Arial" w:ascii="Arial" w:hAnsi="Arial"/>
          <w:b/>
        </w:rPr>
      </w:r>
    </w:p>
    <w:p>
      <w:pPr>
        <w:pStyle w:val="Normal"/>
        <w:spacing w:before="0" w:after="0"/>
        <w:jc w:val="center"/>
        <w:rPr/>
      </w:pPr>
      <w:r>
        <w:rPr>
          <w:rFonts w:cs="Arial" w:ascii="Arial" w:hAnsi="Arial"/>
          <w:b/>
        </w:rPr>
        <w:t>ESTADO</w:t>
      </w:r>
      <w:r>
        <w:rPr>
          <w:rFonts w:eastAsia="Arial" w:cs="Arial" w:ascii="Arial" w:hAnsi="Arial"/>
          <w:b/>
        </w:rPr>
        <w:t xml:space="preserve"> </w:t>
      </w:r>
      <w:r>
        <w:rPr>
          <w:rFonts w:cs="Arial" w:ascii="Arial" w:hAnsi="Arial"/>
          <w:b/>
        </w:rPr>
        <w:t>DO</w:t>
      </w:r>
      <w:r>
        <w:rPr>
          <w:rFonts w:eastAsia="Arial" w:cs="Arial" w:ascii="Arial" w:hAnsi="Arial"/>
          <w:b/>
        </w:rPr>
        <w:t xml:space="preserve"> </w:t>
      </w:r>
      <w:r>
        <w:rPr>
          <w:rFonts w:cs="Arial" w:ascii="Arial" w:hAnsi="Arial"/>
          <w:b/>
        </w:rPr>
        <w:t>RIO</w:t>
      </w:r>
      <w:r>
        <w:rPr>
          <w:rFonts w:eastAsia="Arial" w:cs="Arial" w:ascii="Arial" w:hAnsi="Arial"/>
          <w:b/>
        </w:rPr>
        <w:t xml:space="preserve"> </w:t>
      </w:r>
      <w:r>
        <w:rPr>
          <w:rFonts w:cs="Arial" w:ascii="Arial" w:hAnsi="Arial"/>
          <w:b/>
        </w:rPr>
        <w:t>GRANDE</w:t>
      </w:r>
      <w:r>
        <w:rPr>
          <w:rFonts w:eastAsia="Arial" w:cs="Arial" w:ascii="Arial" w:hAnsi="Arial"/>
          <w:b/>
        </w:rPr>
        <w:t xml:space="preserve"> </w:t>
      </w:r>
      <w:r>
        <w:rPr>
          <w:rFonts w:cs="Arial" w:ascii="Arial" w:hAnsi="Arial"/>
          <w:b/>
        </w:rPr>
        <w:t>DO</w:t>
      </w:r>
      <w:r>
        <w:rPr>
          <w:rFonts w:eastAsia="Arial" w:cs="Arial" w:ascii="Arial" w:hAnsi="Arial"/>
          <w:b/>
        </w:rPr>
        <w:t xml:space="preserve"> </w:t>
      </w:r>
      <w:r>
        <w:rPr>
          <w:rFonts w:cs="Arial" w:ascii="Arial" w:hAnsi="Arial"/>
          <w:b/>
        </w:rPr>
        <w:t>SUL</w:t>
      </w:r>
    </w:p>
    <w:p>
      <w:pPr>
        <w:pStyle w:val="Normal"/>
        <w:spacing w:before="0" w:after="0"/>
        <w:jc w:val="center"/>
        <w:rPr/>
      </w:pPr>
      <w:r>
        <w:rPr>
          <w:rFonts w:eastAsia="Arial" w:cs="Arial" w:ascii="Arial" w:hAnsi="Arial"/>
          <w:b/>
        </w:rPr>
        <w:t xml:space="preserve">PREFEITURA DE ARROIO DO PADRE                                                                                                                                                     </w:t>
      </w:r>
      <w:r>
        <w:rPr>
          <w:rFonts w:cs="Arial" w:ascii="Arial" w:hAnsi="Arial"/>
          <w:b/>
        </w:rPr>
        <w:t>GABINETE</w:t>
      </w:r>
      <w:r>
        <w:rPr>
          <w:rFonts w:eastAsia="Arial" w:cs="Arial" w:ascii="Arial" w:hAnsi="Arial"/>
          <w:b/>
        </w:rPr>
        <w:t xml:space="preserve"> </w:t>
      </w:r>
      <w:r>
        <w:rPr>
          <w:rFonts w:cs="Arial" w:ascii="Arial" w:hAnsi="Arial"/>
          <w:b/>
        </w:rPr>
        <w:t>DO</w:t>
      </w:r>
      <w:r>
        <w:rPr>
          <w:rFonts w:eastAsia="Arial" w:cs="Arial" w:ascii="Arial" w:hAnsi="Arial"/>
          <w:b/>
        </w:rPr>
        <w:t xml:space="preserve"> </w:t>
      </w:r>
      <w:r>
        <w:rPr>
          <w:rFonts w:cs="Arial" w:ascii="Arial" w:hAnsi="Arial"/>
          <w:b/>
        </w:rPr>
        <w:t>PREFEITO</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b/>
          <w:b/>
          <w:bCs/>
          <w:color w:val="00000A"/>
          <w:sz w:val="24"/>
          <w:szCs w:val="24"/>
          <w:u w:val="single"/>
        </w:rPr>
      </w:pPr>
      <w:r>
        <w:rPr>
          <w:rFonts w:cs="Arial" w:ascii="Arial" w:hAnsi="Arial"/>
          <w:b/>
          <w:bCs/>
          <w:color w:val="00000A"/>
          <w:sz w:val="24"/>
          <w:szCs w:val="24"/>
          <w:u w:val="single"/>
        </w:rPr>
        <w:t>Lei Complementar nº 26, de 29 de novembro de 2019.</w:t>
      </w:r>
    </w:p>
    <w:p>
      <w:pPr>
        <w:pStyle w:val="Normal"/>
        <w:ind w:left="3119" w:right="0" w:hanging="0"/>
        <w:jc w:val="both"/>
        <w:rPr>
          <w:rFonts w:ascii="Arial" w:hAnsi="Arial" w:cs="Arial"/>
        </w:rPr>
      </w:pPr>
      <w:r>
        <w:rPr>
          <w:rFonts w:cs="Arial" w:ascii="Arial" w:hAnsi="Arial"/>
          <w:sz w:val="24"/>
          <w:szCs w:val="24"/>
        </w:rPr>
        <w:t>Altera o Anexo IV da Lei Complementar nº 22 de 29 de</w:t>
      </w:r>
      <w:r>
        <w:rPr>
          <w:rFonts w:cs="Arial" w:ascii="Arial" w:hAnsi="Arial"/>
        </w:rPr>
        <w:t xml:space="preserve"> dezembro de 2017, referente a sua parte, de avaliação de áreas urbanas, para fins do ITBI – Imposto de Transmissão de Bens Imóveis. </w:t>
      </w:r>
    </w:p>
    <w:p>
      <w:pPr>
        <w:pStyle w:val="Normal"/>
        <w:ind w:firstLine="708"/>
        <w:jc w:val="both"/>
        <w:rPr>
          <w:rFonts w:ascii="Arial" w:hAnsi="Arial" w:cs="Arial"/>
        </w:rPr>
      </w:pPr>
      <w:r>
        <w:rPr>
          <w:rFonts w:cs="Arial" w:ascii="Arial" w:hAnsi="Arial"/>
        </w:rPr>
        <w:t xml:space="preserve">O Prefeito Municipal de Arroio do Padre, Sr. Leonir Aldrighi Baschi, faz saber que a Câmara Municipal de Vereadores aprovou e eu sanciono e promulgo a seguinte Lei: </w:t>
      </w:r>
    </w:p>
    <w:p>
      <w:pPr>
        <w:pStyle w:val="Normal"/>
        <w:jc w:val="both"/>
        <w:rPr>
          <w:rFonts w:ascii="Arial" w:hAnsi="Arial" w:cs="Arial"/>
        </w:rPr>
      </w:pPr>
      <w:r>
        <w:rPr>
          <w:rFonts w:cs="Arial" w:ascii="Arial" w:hAnsi="Arial"/>
        </w:rPr>
        <w:t>Art. 1º A presente Lei Complementar altera o Anexo IV, da Lei Complementar nº 22 de 29 de dezembro de 2017, Código Tributário Municipal, na sua parte referente a avaliação de áreas urbanas no Município de Arroio do Padre, para fins de ITBI – Imposto Transmissão de Bens Imóveis.</w:t>
      </w:r>
    </w:p>
    <w:p>
      <w:pPr>
        <w:pStyle w:val="Normal"/>
        <w:jc w:val="both"/>
        <w:rPr>
          <w:rFonts w:ascii="Arial" w:hAnsi="Arial" w:cs="Arial"/>
        </w:rPr>
      </w:pPr>
      <w:r>
        <w:rPr>
          <w:rFonts w:cs="Arial" w:ascii="Arial" w:hAnsi="Arial"/>
        </w:rPr>
        <w:t>Art. 2º O anexo IV da lei Complementar nº 22 de 29 de dezembro de 2017, que dispõe sobre o Código Tributário Municipal, na sua parte referente a avaliação de áreas urbanas no Município de Arroio do Padre, para fins de ITBI – Imposto de Transmissão de Bens e Imóveis, passará a</w:t>
      </w:r>
      <w:r>
        <w:rPr>
          <w:rFonts w:cs="Arial" w:ascii="Arial" w:hAnsi="Arial"/>
          <w:b w:val="false"/>
          <w:bCs w:val="false"/>
          <w:u w:val="none"/>
        </w:rPr>
        <w:t xml:space="preserve"> vigorar</w:t>
      </w:r>
      <w:r>
        <w:rPr>
          <w:rFonts w:cs="Arial" w:ascii="Arial" w:hAnsi="Arial"/>
        </w:rPr>
        <w:t xml:space="preserve"> de acordo com o anexo I, desta Lei Complementar.</w:t>
      </w:r>
    </w:p>
    <w:p>
      <w:pPr>
        <w:pStyle w:val="Normal"/>
        <w:jc w:val="both"/>
        <w:rPr>
          <w:rFonts w:ascii="Arial" w:hAnsi="Arial" w:cs="Arial"/>
        </w:rPr>
      </w:pPr>
      <w:r>
        <w:rPr>
          <w:rFonts w:cs="Arial" w:ascii="Arial" w:hAnsi="Arial"/>
        </w:rPr>
        <w:t>Art. 3º Os benefícios fiscais estabelecidos por esta Lei Complementar, quanto a avaliação diferenciada do ITBI – Imposto de Transmissão de Bens Imóveis e a redução ou desconto do montante do valor da avaliação para fim deste tributo somente serão concedidos se aprovado a ampliação e adequação do perímetro urbano, conforme constante na proposta legislativa em tramitação na Câmara de Vereadores, indicado como forma de compensação entre as situações propostas, evitando eventual perda (renúncia) de receita.</w:t>
      </w:r>
    </w:p>
    <w:p>
      <w:pPr>
        <w:pStyle w:val="Normal"/>
        <w:jc w:val="both"/>
        <w:rPr>
          <w:rFonts w:ascii="Arial;sans-serif" w:hAnsi="Arial;sans-serif" w:cs="Arial;sans-serif"/>
          <w:sz w:val="24"/>
        </w:rPr>
      </w:pPr>
      <w:r>
        <w:rPr>
          <w:rFonts w:cs="Arial" w:ascii="Arial" w:hAnsi="Arial"/>
        </w:rPr>
        <w:t>Art. 4º Esta Lei Complementar entra em vigor na data de sua publicação, surtindo seus efeitos a partir de 02 de janeiro de 2021.</w:t>
      </w:r>
    </w:p>
    <w:p>
      <w:pPr>
        <w:pStyle w:val="Corpodetexto"/>
        <w:jc w:val="right"/>
        <w:rPr/>
      </w:pPr>
      <w:r>
        <w:rPr>
          <w:rFonts w:cs="Arial;sans-serif" w:ascii="Arial;sans-serif" w:hAnsi="Arial;sans-serif"/>
          <w:sz w:val="24"/>
        </w:rPr>
        <w:t>Arroio do Padre, 29 de novembro de 2019.</w:t>
      </w:r>
    </w:p>
    <w:p>
      <w:pPr>
        <w:pStyle w:val="Corpodetexto"/>
        <w:spacing w:before="0" w:after="0"/>
        <w:jc w:val="center"/>
        <w:rPr>
          <w:rFonts w:ascii="Arial" w:hAnsi="Arial" w:cs="Arial"/>
          <w:i/>
          <w:i/>
        </w:rPr>
      </w:pPr>
      <w:r>
        <w:rPr>
          <w:rFonts w:cs="Arial" w:ascii="Arial" w:hAnsi="Arial"/>
          <w:i/>
        </w:rPr>
      </w:r>
    </w:p>
    <w:p>
      <w:pPr>
        <w:pStyle w:val="Corpodetexto"/>
        <w:spacing w:before="0" w:after="0"/>
        <w:jc w:val="center"/>
        <w:rPr>
          <w:rFonts w:ascii="Arial" w:hAnsi="Arial" w:cs="Arial"/>
          <w:i/>
          <w:i/>
        </w:rPr>
      </w:pPr>
      <w:r>
        <w:rPr>
          <w:rFonts w:cs="Arial" w:ascii="Arial" w:hAnsi="Arial"/>
          <w:i/>
        </w:rPr>
      </w:r>
    </w:p>
    <w:p>
      <w:pPr>
        <w:pStyle w:val="Corpodetexto"/>
        <w:spacing w:before="0" w:after="0"/>
        <w:jc w:val="center"/>
        <w:rPr>
          <w:rFonts w:ascii="Arial" w:hAnsi="Arial" w:cs="Arial"/>
          <w:i/>
          <w:i/>
        </w:rPr>
      </w:pPr>
      <w:r>
        <w:rPr>
          <w:rFonts w:cs="Arial" w:ascii="Arial" w:hAnsi="Arial"/>
          <w:i/>
        </w:rPr>
        <w:t>___________________________________</w:t>
      </w:r>
    </w:p>
    <w:p>
      <w:pPr>
        <w:pStyle w:val="Corpodetexto"/>
        <w:spacing w:before="0" w:after="0"/>
        <w:jc w:val="center"/>
        <w:rPr>
          <w:rFonts w:ascii="Arial" w:hAnsi="Arial" w:cs="Arial"/>
          <w:color w:val="00000A"/>
        </w:rPr>
      </w:pPr>
      <w:r>
        <w:rPr>
          <w:rFonts w:cs="Arial" w:ascii="Arial" w:hAnsi="Arial"/>
          <w:color w:val="00000A"/>
        </w:rPr>
        <w:t>Leonir Baschi</w:t>
      </w:r>
    </w:p>
    <w:p>
      <w:pPr>
        <w:pStyle w:val="Corpodetexto"/>
        <w:spacing w:before="0" w:after="0"/>
        <w:jc w:val="center"/>
        <w:rPr>
          <w:rFonts w:ascii="Arial" w:hAnsi="Arial" w:cs="Arial"/>
          <w:color w:val="00000A"/>
        </w:rPr>
      </w:pPr>
      <w:r>
        <w:rPr>
          <w:rFonts w:cs="Arial" w:ascii="Arial" w:hAnsi="Arial"/>
          <w:color w:val="00000A"/>
        </w:rPr>
        <w:t>Prefeito Municipa</w:t>
      </w:r>
    </w:p>
    <w:p>
      <w:pPr>
        <w:pStyle w:val="Padro"/>
        <w:tabs>
          <w:tab w:val="left" w:pos="708" w:leader="none"/>
          <w:tab w:val="left" w:pos="5355" w:leader="none"/>
        </w:tabs>
        <w:spacing w:lineRule="auto" w:line="240" w:before="0" w:after="120"/>
        <w:jc w:val="both"/>
        <w:rPr>
          <w:rFonts w:ascii="Arial" w:hAnsi="Arial" w:cs="Arial"/>
          <w:color w:val="00000A"/>
        </w:rPr>
      </w:pPr>
      <w:r>
        <w:rPr>
          <w:rFonts w:cs="Arial" w:ascii="Arial" w:hAnsi="Arial"/>
          <w:color w:val="00000A"/>
        </w:rPr>
        <w:drawing>
          <wp:anchor behindDoc="0" distT="0" distB="0" distL="0" distR="0" simplePos="0" locked="0" layoutInCell="1" allowOverlap="1" relativeHeight="3">
            <wp:simplePos x="0" y="0"/>
            <wp:positionH relativeFrom="page">
              <wp:posOffset>3300095</wp:posOffset>
            </wp:positionH>
            <wp:positionV relativeFrom="paragraph">
              <wp:posOffset>635</wp:posOffset>
            </wp:positionV>
            <wp:extent cx="960120" cy="961390"/>
            <wp:effectExtent l="0" t="0" r="0" b="0"/>
            <wp:wrapSquare wrapText="bothSides"/>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rcRect l="-80" t="-63" r="-80" b="-63"/>
                    <a:stretch>
                      <a:fillRect/>
                    </a:stretch>
                  </pic:blipFill>
                  <pic:spPr bwMode="auto">
                    <a:xfrm>
                      <a:off x="0" y="0"/>
                      <a:ext cx="960120" cy="961390"/>
                    </a:xfrm>
                    <a:prstGeom prst="rect">
                      <a:avLst/>
                    </a:prstGeom>
                  </pic:spPr>
                </pic:pic>
              </a:graphicData>
            </a:graphic>
          </wp:anchor>
        </w:drawing>
      </w:r>
    </w:p>
    <w:p>
      <w:pPr>
        <w:pStyle w:val="Normal"/>
        <w:spacing w:lineRule="auto" w:line="240" w:before="0" w:after="0"/>
        <w:jc w:val="center"/>
        <w:rPr>
          <w:rFonts w:ascii="Arial" w:hAnsi="Arial" w:cs="Arial"/>
          <w:b/>
          <w:b/>
          <w:color w:val="00000A"/>
        </w:rPr>
      </w:pPr>
      <w:r>
        <w:rPr>
          <w:rFonts w:cs="Arial" w:ascii="Arial" w:hAnsi="Arial"/>
          <w:b/>
          <w:color w:val="00000A"/>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ESTADO DO RIO GRANDE DO SUL</w:t>
      </w:r>
    </w:p>
    <w:p>
      <w:pPr>
        <w:pStyle w:val="Normal"/>
        <w:spacing w:lineRule="auto" w:line="240" w:before="0" w:after="0"/>
        <w:jc w:val="center"/>
        <w:rPr>
          <w:rFonts w:ascii="Arial" w:hAnsi="Arial" w:cs="Arial"/>
          <w:b/>
          <w:b/>
        </w:rPr>
      </w:pPr>
      <w:r>
        <w:rPr>
          <w:rFonts w:cs="Arial" w:ascii="Arial" w:hAnsi="Arial"/>
          <w:b/>
        </w:rPr>
        <w:t>MUNICÍPIO DE ARROIO DO PADRE</w:t>
      </w:r>
    </w:p>
    <w:p>
      <w:pPr>
        <w:pStyle w:val="Normal"/>
        <w:spacing w:lineRule="auto" w:line="240" w:before="0" w:after="0"/>
        <w:jc w:val="center"/>
        <w:rPr>
          <w:rFonts w:ascii="Arial" w:hAnsi="Arial" w:cs="Arial"/>
          <w:b/>
          <w:b/>
          <w:color w:val="00000A"/>
        </w:rPr>
      </w:pPr>
      <w:r>
        <w:rPr>
          <w:rFonts w:cs="Arial" w:ascii="Arial" w:hAnsi="Arial"/>
          <w:b/>
        </w:rPr>
        <w:t>GABINETE DO PREFEITO</w:t>
      </w:r>
    </w:p>
    <w:p>
      <w:pPr>
        <w:pStyle w:val="Padro"/>
        <w:tabs>
          <w:tab w:val="left" w:pos="0" w:leader="none"/>
          <w:tab w:val="left" w:pos="708" w:leader="none"/>
        </w:tabs>
        <w:spacing w:lineRule="auto" w:line="240" w:before="0" w:after="0"/>
        <w:jc w:val="center"/>
        <w:rPr>
          <w:rFonts w:ascii="Arial" w:hAnsi="Arial" w:cs="Arial"/>
          <w:b/>
          <w:b/>
          <w:color w:val="00000A"/>
        </w:rPr>
      </w:pPr>
      <w:r>
        <w:rPr>
          <w:rFonts w:cs="Arial" w:ascii="Arial" w:hAnsi="Arial"/>
          <w:b/>
          <w:color w:val="00000A"/>
        </w:rPr>
      </w:r>
    </w:p>
    <w:p>
      <w:pPr>
        <w:pStyle w:val="Padro"/>
        <w:tabs>
          <w:tab w:val="left" w:pos="0" w:leader="none"/>
          <w:tab w:val="left" w:pos="708" w:leader="none"/>
        </w:tabs>
        <w:spacing w:lineRule="auto" w:line="240" w:before="0" w:after="0"/>
        <w:jc w:val="center"/>
        <w:rPr>
          <w:rFonts w:ascii="Arial" w:hAnsi="Arial" w:cs="Arial"/>
          <w:b/>
          <w:b/>
          <w:color w:val="00000A"/>
        </w:rPr>
      </w:pPr>
      <w:r>
        <w:rPr>
          <w:rFonts w:cs="Arial" w:ascii="Arial" w:hAnsi="Arial"/>
          <w:b/>
          <w:color w:val="00000A"/>
        </w:rPr>
      </w:r>
    </w:p>
    <w:p>
      <w:pPr>
        <w:pStyle w:val="Normal"/>
        <w:jc w:val="center"/>
        <w:rPr/>
      </w:pPr>
      <w:r>
        <w:rPr>
          <w:rFonts w:cs="Arial" w:ascii="Arial" w:hAnsi="Arial"/>
          <w:b/>
        </w:rPr>
        <w:t>Lei Complementar nº 26</w:t>
      </w:r>
      <w:r>
        <w:rPr>
          <w:rFonts w:cs="Arial" w:ascii="Arial" w:hAnsi="Arial"/>
          <w:b/>
        </w:rPr>
        <w:t>/201</w:t>
      </w:r>
      <w:r>
        <w:rPr>
          <w:rFonts w:cs="Arial" w:ascii="Arial" w:hAnsi="Arial"/>
          <w:b/>
        </w:rPr>
        <w:t>9</w:t>
      </w:r>
    </w:p>
    <w:p>
      <w:pPr>
        <w:pStyle w:val="Normal"/>
        <w:jc w:val="center"/>
        <w:rPr/>
      </w:pPr>
      <w:r>
        <w:rPr>
          <w:rFonts w:cs="Arial" w:ascii="Arial" w:hAnsi="Arial"/>
          <w:b/>
          <w:bCs/>
        </w:rPr>
        <w:t>ANEXO I</w:t>
      </w:r>
    </w:p>
    <w:tbl>
      <w:tblPr>
        <w:tblW w:w="9356" w:type="dxa"/>
        <w:jc w:val="center"/>
        <w:tblInd w:w="0" w:type="dxa"/>
        <w:tblBorders>
          <w:top w:val="single" w:sz="8" w:space="0" w:color="00000A"/>
          <w:left w:val="single" w:sz="8" w:space="0" w:color="00000A"/>
          <w:bottom w:val="single" w:sz="8" w:space="0" w:color="00000A"/>
          <w:insideH w:val="single" w:sz="8" w:space="0" w:color="00000A"/>
        </w:tblBorders>
        <w:tblCellMar>
          <w:top w:w="0" w:type="dxa"/>
          <w:left w:w="50" w:type="dxa"/>
          <w:bottom w:w="0" w:type="dxa"/>
          <w:right w:w="70" w:type="dxa"/>
        </w:tblCellMar>
      </w:tblPr>
      <w:tblGrid>
        <w:gridCol w:w="1694"/>
        <w:gridCol w:w="2806"/>
        <w:gridCol w:w="1768"/>
        <w:gridCol w:w="1359"/>
        <w:gridCol w:w="1729"/>
      </w:tblGrid>
      <w:tr>
        <w:trPr>
          <w:trHeight w:val="826" w:hRule="atLeast"/>
        </w:trPr>
        <w:tc>
          <w:tcPr>
            <w:tcW w:w="1694"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b/>
                <w:b/>
                <w:bCs/>
                <w:color w:val="000000"/>
                <w:lang w:eastAsia="en-US"/>
              </w:rPr>
            </w:pPr>
            <w:r>
              <w:rPr>
                <w:rFonts w:eastAsia="Calibri" w:cs="Arial" w:ascii="Arial" w:hAnsi="Arial"/>
                <w:b/>
                <w:bCs/>
                <w:color w:val="000000"/>
                <w:lang w:eastAsia="en-US"/>
              </w:rPr>
              <w:t>Terrenos</w:t>
            </w:r>
          </w:p>
        </w:tc>
        <w:tc>
          <w:tcPr>
            <w:tcW w:w="2806"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b/>
                <w:b/>
                <w:bCs/>
                <w:color w:val="000000"/>
                <w:lang w:eastAsia="en-US"/>
              </w:rPr>
            </w:pPr>
            <w:r>
              <w:rPr>
                <w:rFonts w:eastAsia="Calibri" w:cs="Arial" w:ascii="Arial" w:hAnsi="Arial"/>
                <w:b/>
                <w:bCs/>
                <w:color w:val="000000"/>
                <w:lang w:eastAsia="en-US"/>
              </w:rPr>
              <w:t>Localização</w:t>
            </w:r>
          </w:p>
        </w:tc>
        <w:tc>
          <w:tcPr>
            <w:tcW w:w="1768"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b/>
                <w:b/>
                <w:bCs/>
                <w:color w:val="000000"/>
                <w:lang w:eastAsia="en-US"/>
              </w:rPr>
            </w:pPr>
            <w:r>
              <w:rPr>
                <w:rFonts w:eastAsia="Calibri" w:cs="Arial" w:ascii="Arial" w:hAnsi="Arial"/>
                <w:b/>
                <w:bCs/>
                <w:color w:val="000000"/>
                <w:lang w:eastAsia="en-US"/>
              </w:rPr>
              <w:t>Distâncias a considerar das vias públicas</w:t>
            </w:r>
          </w:p>
        </w:tc>
        <w:tc>
          <w:tcPr>
            <w:tcW w:w="1359"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b/>
                <w:b/>
                <w:bCs/>
                <w:color w:val="000000"/>
                <w:lang w:eastAsia="en-US"/>
              </w:rPr>
            </w:pPr>
            <w:r>
              <w:rPr>
                <w:rFonts w:eastAsia="Calibri" w:cs="Arial" w:ascii="Arial" w:hAnsi="Arial"/>
                <w:b/>
                <w:bCs/>
                <w:color w:val="000000"/>
                <w:lang w:eastAsia="en-US"/>
              </w:rPr>
              <w:t>Valor do m² - R$</w:t>
            </w:r>
          </w:p>
        </w:tc>
        <w:tc>
          <w:tcPr>
            <w:tcW w:w="1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b/>
                <w:b/>
                <w:bCs/>
                <w:color w:val="000000"/>
                <w:lang w:eastAsia="en-US"/>
              </w:rPr>
            </w:pPr>
            <w:r>
              <w:rPr>
                <w:rFonts w:eastAsia="Calibri" w:cs="Arial" w:ascii="Arial" w:hAnsi="Arial"/>
                <w:b/>
                <w:bCs/>
                <w:color w:val="000000"/>
                <w:lang w:eastAsia="en-US"/>
              </w:rPr>
              <w:t>Tabela de redução ou desconto</w:t>
            </w:r>
          </w:p>
        </w:tc>
      </w:tr>
      <w:tr>
        <w:trPr>
          <w:trHeight w:val="830" w:hRule="atLeast"/>
        </w:trPr>
        <w:tc>
          <w:tcPr>
            <w:tcW w:w="1694" w:type="dxa"/>
            <w:vMerge w:val="restart"/>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 xml:space="preserve">TERRENOS </w:t>
            </w:r>
          </w:p>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PLANOS</w:t>
              <w:br/>
              <w:br/>
              <w:t>(-30% de</w:t>
              <w:br/>
              <w:t>Declividade)</w:t>
            </w:r>
          </w:p>
        </w:tc>
        <w:tc>
          <w:tcPr>
            <w:tcW w:w="2806" w:type="dxa"/>
            <w:vMerge w:val="restart"/>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Centro do Município até 1.000 metros de distância da rótula central em todas as direções, conforme as vias públicas principais e adjacentes</w:t>
            </w:r>
          </w:p>
        </w:tc>
        <w:tc>
          <w:tcPr>
            <w:tcW w:w="1768"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120,00</w:t>
            </w:r>
          </w:p>
        </w:tc>
        <w:tc>
          <w:tcPr>
            <w:tcW w:w="1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1143"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200 metros ou mais</w:t>
            </w:r>
          </w:p>
        </w:tc>
        <w:tc>
          <w:tcPr>
            <w:tcW w:w="1359"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3,00</w:t>
            </w:r>
          </w:p>
        </w:tc>
        <w:tc>
          <w:tcPr>
            <w:tcW w:w="1729" w:type="dxa"/>
            <w:vMerge w:val="restart"/>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698"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8" w:space="0" w:color="00000A"/>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Centro do Município depois de 1.000,01 metros de distância da rótula central, conforme as vias públicas principais e adjacentes</w:t>
            </w:r>
          </w:p>
        </w:tc>
        <w:tc>
          <w:tcPr>
            <w:tcW w:w="1768"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110,00</w:t>
            </w:r>
          </w:p>
        </w:tc>
        <w:tc>
          <w:tcPr>
            <w:tcW w:w="1729" w:type="dxa"/>
            <w:vMerge w:val="restart"/>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23" w:hRule="exac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1336"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200 metros ou mais</w:t>
            </w:r>
          </w:p>
        </w:tc>
        <w:tc>
          <w:tcPr>
            <w:tcW w:w="1359"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3,00</w:t>
            </w:r>
          </w:p>
        </w:tc>
        <w:tc>
          <w:tcPr>
            <w:tcW w:w="1729" w:type="dxa"/>
            <w:vMerge w:val="restart"/>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497"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Benjamin Constant</w:t>
            </w:r>
          </w:p>
        </w:tc>
        <w:tc>
          <w:tcPr>
            <w:tcW w:w="1768"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100,00</w:t>
            </w:r>
          </w:p>
        </w:tc>
        <w:tc>
          <w:tcPr>
            <w:tcW w:w="1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895"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ou 200 metros</w:t>
            </w:r>
          </w:p>
        </w:tc>
        <w:tc>
          <w:tcPr>
            <w:tcW w:w="1359"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2,70</w:t>
            </w:r>
          </w:p>
        </w:tc>
        <w:tc>
          <w:tcPr>
            <w:tcW w:w="1729" w:type="dxa"/>
            <w:vMerge w:val="restart"/>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675"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8" w:space="0" w:color="00000A"/>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Progresso</w:t>
            </w:r>
          </w:p>
        </w:tc>
        <w:tc>
          <w:tcPr>
            <w:tcW w:w="1768"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100,00</w:t>
            </w:r>
          </w:p>
        </w:tc>
        <w:tc>
          <w:tcPr>
            <w:tcW w:w="1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667"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metros</w:t>
            </w:r>
          </w:p>
        </w:tc>
        <w:tc>
          <w:tcPr>
            <w:tcW w:w="1359"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2,70</w:t>
            </w:r>
          </w:p>
        </w:tc>
        <w:tc>
          <w:tcPr>
            <w:tcW w:w="1729" w:type="dxa"/>
            <w:vMerge w:val="restart"/>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675"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Brasil p/ Cristo</w:t>
            </w:r>
          </w:p>
        </w:tc>
        <w:tc>
          <w:tcPr>
            <w:tcW w:w="1768"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100,00</w:t>
            </w:r>
          </w:p>
        </w:tc>
        <w:tc>
          <w:tcPr>
            <w:tcW w:w="1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710"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metros</w:t>
            </w:r>
          </w:p>
        </w:tc>
        <w:tc>
          <w:tcPr>
            <w:tcW w:w="1359"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2,70</w:t>
            </w:r>
          </w:p>
        </w:tc>
        <w:tc>
          <w:tcPr>
            <w:tcW w:w="1729" w:type="dxa"/>
            <w:vMerge w:val="restart"/>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497"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Leitzke</w:t>
            </w:r>
          </w:p>
        </w:tc>
        <w:tc>
          <w:tcPr>
            <w:tcW w:w="1768"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90,00</w:t>
            </w:r>
          </w:p>
        </w:tc>
        <w:tc>
          <w:tcPr>
            <w:tcW w:w="1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665"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metros</w:t>
            </w:r>
          </w:p>
        </w:tc>
        <w:tc>
          <w:tcPr>
            <w:tcW w:w="1359" w:type="dxa"/>
            <w:vMerge w:val="restart"/>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2,43</w:t>
            </w:r>
          </w:p>
        </w:tc>
        <w:tc>
          <w:tcPr>
            <w:tcW w:w="1729" w:type="dxa"/>
            <w:vMerge w:val="restart"/>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8" w:space="0" w:color="000001"/>
              <w:left w:val="single" w:sz="8" w:space="0" w:color="00000A"/>
              <w:bottom w:val="single" w:sz="8" w:space="0" w:color="000001"/>
              <w:insideH w:val="single" w:sz="8" w:space="0" w:color="000001"/>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8" w:space="0" w:color="000001"/>
              <w:left w:val="single" w:sz="8" w:space="0" w:color="00000A"/>
              <w:bottom w:val="single" w:sz="8" w:space="0" w:color="000001"/>
              <w:right w:val="single" w:sz="8" w:space="0" w:color="00000A"/>
              <w:insideH w:val="single" w:sz="8" w:space="0" w:color="000001"/>
              <w:insideV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497"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Cerrito</w:t>
            </w:r>
          </w:p>
        </w:tc>
        <w:tc>
          <w:tcPr>
            <w:tcW w:w="1768"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90,00</w:t>
            </w:r>
          </w:p>
        </w:tc>
        <w:tc>
          <w:tcPr>
            <w:tcW w:w="172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735" w:hRule="atLeas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metros</w:t>
            </w:r>
          </w:p>
        </w:tc>
        <w:tc>
          <w:tcPr>
            <w:tcW w:w="1359" w:type="dxa"/>
            <w:vMerge w:val="restart"/>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2,43</w:t>
            </w:r>
          </w:p>
        </w:tc>
        <w:tc>
          <w:tcPr>
            <w:tcW w:w="1729" w:type="dxa"/>
            <w:vMerge w:val="restart"/>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pacing w:lineRule="auto" w:line="240" w:before="0" w:after="0"/>
              <w:jc w:val="center"/>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8" w:space="0" w:color="00000A"/>
              <w:left w:val="single" w:sz="8" w:space="0" w:color="00000A"/>
              <w:bottom w:val="single" w:sz="8" w:space="0" w:color="00000A"/>
              <w:insideH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FFFFFF" w:val="clear"/>
            <w:tcMar>
              <w:left w:w="50" w:type="dxa"/>
            </w:tcM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843" w:hRule="atLeast"/>
        </w:trPr>
        <w:tc>
          <w:tcPr>
            <w:tcW w:w="1694" w:type="dxa"/>
            <w:vMerge w:val="restart"/>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pacing w:lineRule="auto" w:line="240" w:before="0" w:after="0"/>
              <w:jc w:val="center"/>
              <w:rPr/>
            </w:pPr>
            <w:r>
              <w:rPr>
                <w:rFonts w:eastAsia="Calibri" w:cs="Arial" w:ascii="Arial" w:hAnsi="Arial"/>
                <w:color w:val="000000"/>
                <w:lang w:eastAsia="en-US"/>
              </w:rPr>
              <w:t>TERRENOS ONDULADOS</w:t>
              <w:br/>
              <w:br/>
              <w:t>(+ 30% de</w:t>
              <w:br/>
              <w:t>Declividade)</w:t>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p>
            <w:pPr>
              <w:pStyle w:val="Normal"/>
              <w:spacing w:lineRule="auto" w:line="240" w:before="0" w:after="0"/>
              <w:jc w:val="center"/>
              <w:rPr>
                <w:rFonts w:ascii="Arial" w:hAnsi="Arial" w:eastAsia="Calibri" w:cs="Arial"/>
                <w:color w:val="000000"/>
                <w:lang w:eastAsia="en-US"/>
              </w:rPr>
            </w:pPr>
            <w:r>
              <w:rPr/>
            </w:r>
          </w:p>
        </w:tc>
        <w:tc>
          <w:tcPr>
            <w:tcW w:w="2806"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Centro do Município até 1.000 metros de distância da rótula central em todas as direções, conforme as vias públicas principais e adjacentes</w:t>
            </w:r>
          </w:p>
        </w:tc>
        <w:tc>
          <w:tcPr>
            <w:tcW w:w="1768"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108,00</w:t>
            </w:r>
          </w:p>
        </w:tc>
        <w:tc>
          <w:tcPr>
            <w:tcW w:w="17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1376"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200 metros ou mais</w:t>
            </w:r>
          </w:p>
        </w:tc>
        <w:tc>
          <w:tcPr>
            <w:tcW w:w="1359"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2,70</w:t>
            </w:r>
          </w:p>
        </w:tc>
        <w:tc>
          <w:tcPr>
            <w:tcW w:w="17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625"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Centro do Município depois de 1.000,01 metros de distância da rótula central, conforme as vias públicas principais e adjacentes</w:t>
            </w:r>
          </w:p>
        </w:tc>
        <w:tc>
          <w:tcPr>
            <w:tcW w:w="1768"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99,00</w:t>
            </w:r>
          </w:p>
        </w:tc>
        <w:tc>
          <w:tcPr>
            <w:tcW w:w="17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23" w:hRule="exac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1264"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200 metros ou mais</w:t>
            </w:r>
          </w:p>
        </w:tc>
        <w:tc>
          <w:tcPr>
            <w:tcW w:w="1359"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2,43</w:t>
            </w:r>
          </w:p>
        </w:tc>
        <w:tc>
          <w:tcPr>
            <w:tcW w:w="17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485"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Benjamin Constant</w:t>
            </w:r>
          </w:p>
        </w:tc>
        <w:tc>
          <w:tcPr>
            <w:tcW w:w="1768"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90,00</w:t>
            </w:r>
          </w:p>
        </w:tc>
        <w:tc>
          <w:tcPr>
            <w:tcW w:w="17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825"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ou 200 metros</w:t>
            </w:r>
          </w:p>
        </w:tc>
        <w:tc>
          <w:tcPr>
            <w:tcW w:w="1359"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2,19</w:t>
            </w:r>
          </w:p>
        </w:tc>
        <w:tc>
          <w:tcPr>
            <w:tcW w:w="17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485"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Progresso</w:t>
            </w:r>
          </w:p>
        </w:tc>
        <w:tc>
          <w:tcPr>
            <w:tcW w:w="1768"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90,00</w:t>
            </w:r>
          </w:p>
        </w:tc>
        <w:tc>
          <w:tcPr>
            <w:tcW w:w="17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780"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metros</w:t>
            </w:r>
          </w:p>
        </w:tc>
        <w:tc>
          <w:tcPr>
            <w:tcW w:w="1359"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2,19</w:t>
            </w:r>
          </w:p>
        </w:tc>
        <w:tc>
          <w:tcPr>
            <w:tcW w:w="17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485"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Brasil p/ Cristo</w:t>
            </w:r>
          </w:p>
        </w:tc>
        <w:tc>
          <w:tcPr>
            <w:tcW w:w="1768"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90,00</w:t>
            </w:r>
          </w:p>
        </w:tc>
        <w:tc>
          <w:tcPr>
            <w:tcW w:w="17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555"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metros</w:t>
            </w:r>
          </w:p>
        </w:tc>
        <w:tc>
          <w:tcPr>
            <w:tcW w:w="1359"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2,19</w:t>
            </w:r>
          </w:p>
        </w:tc>
        <w:tc>
          <w:tcPr>
            <w:tcW w:w="17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485"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Leitzke</w:t>
            </w:r>
          </w:p>
        </w:tc>
        <w:tc>
          <w:tcPr>
            <w:tcW w:w="1768"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81,00</w:t>
            </w:r>
          </w:p>
        </w:tc>
        <w:tc>
          <w:tcPr>
            <w:tcW w:w="17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660"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metros</w:t>
            </w:r>
          </w:p>
        </w:tc>
        <w:tc>
          <w:tcPr>
            <w:tcW w:w="1359"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1,97</w:t>
            </w:r>
          </w:p>
        </w:tc>
        <w:tc>
          <w:tcPr>
            <w:tcW w:w="17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Não incidirá</w:t>
            </w:r>
          </w:p>
        </w:tc>
      </w:tr>
      <w:tr>
        <w:trPr>
          <w:trHeight w:val="23" w:hRule="exac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485"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Bairro Cerrito</w:t>
            </w:r>
          </w:p>
        </w:tc>
        <w:tc>
          <w:tcPr>
            <w:tcW w:w="1768"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01 a 30 metros</w:t>
            </w:r>
          </w:p>
        </w:tc>
        <w:tc>
          <w:tcPr>
            <w:tcW w:w="1359" w:type="dxa"/>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81,00</w:t>
            </w:r>
          </w:p>
        </w:tc>
        <w:tc>
          <w:tcPr>
            <w:tcW w:w="17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Área acima de 1.080 m² 70%</w:t>
            </w:r>
          </w:p>
        </w:tc>
      </w:tr>
      <w:tr>
        <w:trPr>
          <w:trHeight w:val="720" w:hRule="atLeas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De 30,01 a 100 metros</w:t>
            </w:r>
          </w:p>
        </w:tc>
        <w:tc>
          <w:tcPr>
            <w:tcW w:w="1359" w:type="dxa"/>
            <w:vMerge w:val="restart"/>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pacing w:lineRule="auto" w:line="240" w:before="0" w:after="0"/>
              <w:jc w:val="center"/>
              <w:rPr>
                <w:rFonts w:ascii="Arial" w:hAnsi="Arial" w:eastAsia="Calibri" w:cs="Arial"/>
                <w:color w:val="000000"/>
                <w:lang w:eastAsia="en-US"/>
              </w:rPr>
            </w:pPr>
            <w:r>
              <w:rPr>
                <w:rFonts w:eastAsia="Calibri" w:cs="Arial" w:ascii="Arial" w:hAnsi="Arial"/>
                <w:color w:val="000000"/>
                <w:lang w:eastAsia="en-US"/>
              </w:rPr>
              <w:t>1,97</w:t>
            </w:r>
          </w:p>
        </w:tc>
        <w:tc>
          <w:tcPr>
            <w:tcW w:w="172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center"/>
              <w:rPr/>
            </w:pPr>
            <w:r>
              <w:rPr>
                <w:rFonts w:eastAsia="Calibri" w:cs="Arial" w:ascii="Arial" w:hAnsi="Arial"/>
                <w:color w:val="000000"/>
                <w:lang w:eastAsia="en-US"/>
              </w:rPr>
              <w:t>Não incidir</w:t>
            </w:r>
          </w:p>
        </w:tc>
      </w:tr>
      <w:tr>
        <w:trPr>
          <w:trHeight w:val="23" w:hRule="exact"/>
        </w:trPr>
        <w:tc>
          <w:tcPr>
            <w:tcW w:w="1694" w:type="dxa"/>
            <w:vMerge w:val="continue"/>
            <w:tcBorders>
              <w:top w:val="single" w:sz="4" w:space="0" w:color="00000A"/>
              <w:left w:val="single" w:sz="4" w:space="0" w:color="00000A"/>
              <w:bottom w:val="single" w:sz="4" w:space="0" w:color="00000A"/>
              <w:insideH w:val="single" w:sz="4" w:space="0" w:color="00000A"/>
            </w:tcBorders>
            <w:shd w:fill="FFFFFF" w:val="clear"/>
            <w:vAlign w:val="bottom"/>
          </w:tcPr>
          <w:p>
            <w:pPr>
              <w:pStyle w:val="Normal"/>
              <w:snapToGrid w:val="false"/>
              <w:spacing w:lineRule="auto" w:line="240" w:before="0" w:after="0"/>
              <w:rPr>
                <w:rFonts w:ascii="Arial" w:hAnsi="Arial" w:cs="Arial"/>
                <w:color w:val="000000"/>
              </w:rPr>
            </w:pPr>
            <w:r>
              <w:rPr>
                <w:rFonts w:cs="Arial" w:ascii="Arial" w:hAnsi="Arial"/>
                <w:color w:val="000000"/>
              </w:rPr>
            </w:r>
          </w:p>
        </w:tc>
        <w:tc>
          <w:tcPr>
            <w:tcW w:w="2806"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68"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359" w:type="dxa"/>
            <w:vMerge w:val="continue"/>
            <w:tcBorders>
              <w:top w:val="single" w:sz="4" w:space="0" w:color="00000A"/>
              <w:left w:val="single" w:sz="4" w:space="0" w:color="00000A"/>
              <w:bottom w:val="single" w:sz="4" w:space="0" w:color="00000A"/>
              <w:insideH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c>
          <w:tcPr>
            <w:tcW w:w="172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napToGrid w:val="false"/>
              <w:spacing w:lineRule="auto" w:line="240" w:before="0" w:after="0"/>
              <w:rPr>
                <w:rFonts w:ascii="Arial" w:hAnsi="Arial" w:cs="Arial"/>
                <w:color w:val="000000"/>
              </w:rPr>
            </w:pPr>
            <w:r>
              <w:rPr>
                <w:rFonts w:cs="Arial" w:ascii="Arial" w:hAnsi="Arial"/>
                <w:color w:val="000000"/>
              </w:rPr>
            </w:r>
          </w:p>
        </w:tc>
      </w:tr>
      <w:tr>
        <w:trPr>
          <w:trHeight w:val="1224" w:hRule="atLeast"/>
        </w:trPr>
        <w:tc>
          <w:tcPr>
            <w:tcW w:w="935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both"/>
              <w:rPr/>
            </w:pPr>
            <w:r>
              <w:rPr>
                <w:rFonts w:eastAsia="Symbol" w:cs="Symbol" w:ascii="Symbol" w:hAnsi="Symbol"/>
                <w:color w:val="00000A"/>
              </w:rPr>
              <w:t></w:t>
            </w:r>
            <w:r>
              <w:rPr>
                <w:rFonts w:eastAsia="Symbol"/>
                <w:color w:val="00000A"/>
                <w:sz w:val="14"/>
                <w:szCs w:val="14"/>
              </w:rPr>
              <w:t xml:space="preserve">  </w:t>
            </w:r>
            <w:r>
              <w:rPr>
                <w:rFonts w:eastAsia="Symbol" w:cs="Arial" w:ascii="Arial" w:hAnsi="Arial"/>
                <w:color w:val="00000A"/>
              </w:rPr>
              <w:t>As avaliações de áreas (glebas, terrenos ou lotes) na zona urbana do município de Arroio do Padre serão realizadas tomando por base o m² (metro quadrado) considerando em escala, as distâncias de frente a fundos a partir das vias públicas existentes e das futuras vias públicas a serem estabelecidas.</w:t>
            </w:r>
          </w:p>
        </w:tc>
      </w:tr>
      <w:tr>
        <w:trPr>
          <w:trHeight w:val="1836" w:hRule="atLeast"/>
        </w:trPr>
        <w:tc>
          <w:tcPr>
            <w:tcW w:w="935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both"/>
              <w:rPr/>
            </w:pPr>
            <w:r>
              <w:rPr>
                <w:rFonts w:eastAsia="Symbol" w:cs="Symbol" w:ascii="Symbol" w:hAnsi="Symbol"/>
                <w:color w:val="00000A"/>
              </w:rPr>
              <w:t></w:t>
            </w:r>
            <w:r>
              <w:rPr>
                <w:rFonts w:eastAsia="Symbol"/>
                <w:color w:val="00000A"/>
                <w:sz w:val="14"/>
                <w:szCs w:val="14"/>
              </w:rPr>
              <w:t> </w:t>
            </w:r>
            <w:r>
              <w:rPr>
                <w:rFonts w:eastAsia="Times New Roman" w:cs="Times New Roman"/>
                <w:color w:val="00000A"/>
                <w:sz w:val="14"/>
                <w:szCs w:val="14"/>
              </w:rPr>
              <w:t xml:space="preserve"> </w:t>
            </w:r>
            <w:r>
              <w:rPr>
                <w:rFonts w:eastAsia="Symbol" w:cs="Arial" w:ascii="Arial" w:hAnsi="Arial"/>
                <w:iCs/>
                <w:color w:val="00000A"/>
              </w:rPr>
              <w:t>Áreas inclusas nos terrenos, cobertas com mata e outras de interesse ambiental, nas quais, de acordo com a legislação, não recomenda-se intervenções, terão tributação diferenciada, avaliando-se o m² (metro quadrado) em 10% (dez por cento) do valor estabelecido, em cada situação, conforme a tabela de valores fixada neste anexo, desde que devidamente identificadas nos mapas/plantas e suas características descritas nos memoriais descritivos, sujeitando-se a fiscalização do Município, na manutenção destas. Destas áreas, do valor resultante não será aplicado nenhum outro desconto</w:t>
            </w:r>
          </w:p>
        </w:tc>
      </w:tr>
      <w:tr>
        <w:trPr>
          <w:trHeight w:val="1125" w:hRule="atLeast"/>
        </w:trPr>
        <w:tc>
          <w:tcPr>
            <w:tcW w:w="935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Normal"/>
              <w:spacing w:lineRule="auto" w:line="240" w:before="0" w:after="0"/>
              <w:jc w:val="both"/>
              <w:rPr/>
            </w:pPr>
            <w:r>
              <w:rPr>
                <w:rFonts w:eastAsia="Symbol" w:cs="Symbol" w:ascii="Symbol" w:hAnsi="Symbol"/>
                <w:color w:val="00000A"/>
              </w:rPr>
              <w:t></w:t>
            </w:r>
            <w:r>
              <w:rPr>
                <w:rFonts w:eastAsia="Symbol" w:cs="Symbol" w:ascii="Symbol" w:hAnsi="Symbol"/>
                <w:color w:val="00000A"/>
                <w:sz w:val="14"/>
                <w:szCs w:val="14"/>
              </w:rPr>
              <w:t xml:space="preserve"> </w:t>
            </w:r>
            <w:r>
              <w:rPr>
                <w:rFonts w:eastAsia="Symbol" w:cs="Arial" w:ascii="Arial" w:hAnsi="Arial"/>
                <w:iCs/>
                <w:color w:val="00000A"/>
              </w:rPr>
              <w:t>As áreas que eventualmente remanescerem na zona rural, da divisão ou parcelamento de solo menores do que as aceitas pelos órgãos competentes para fins de registro, poderão ser consideradas urbanas, casos em que serão observados os critérios adotados para avaliação de terras, nas zonas rurais.</w:t>
            </w:r>
          </w:p>
        </w:tc>
      </w:tr>
      <w:tr>
        <w:trPr>
          <w:trHeight w:val="685" w:hRule="atLeast"/>
        </w:trPr>
        <w:tc>
          <w:tcPr>
            <w:tcW w:w="935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ListParagraph"/>
              <w:widowControl/>
              <w:numPr>
                <w:ilvl w:val="0"/>
                <w:numId w:val="0"/>
              </w:numPr>
              <w:tabs>
                <w:tab w:val="left" w:pos="165" w:leader="none"/>
                <w:tab w:val="left" w:pos="360" w:leader="none"/>
                <w:tab w:val="left" w:pos="735" w:leader="none"/>
              </w:tabs>
              <w:suppressAutoHyphens w:val="true"/>
              <w:bidi w:val="0"/>
              <w:spacing w:lineRule="auto" w:line="240" w:before="0" w:after="0"/>
              <w:ind w:left="113" w:right="0" w:hanging="0"/>
              <w:jc w:val="both"/>
              <w:rPr>
                <w:sz w:val="24"/>
                <w:szCs w:val="24"/>
              </w:rPr>
            </w:pPr>
            <w:r>
              <w:rPr>
                <w:rFonts w:eastAsia="Symbol" w:cs="Symbol" w:ascii="Symbol" w:hAnsi="Symbol"/>
                <w:color w:val="00000A"/>
                <w:sz w:val="24"/>
                <w:szCs w:val="24"/>
              </w:rPr>
              <w:t xml:space="preserve"> </w:t>
            </w:r>
            <w:r>
              <w:rPr>
                <w:rFonts w:cs="Arial" w:ascii="Arial" w:hAnsi="Arial"/>
                <w:sz w:val="24"/>
                <w:szCs w:val="24"/>
              </w:rPr>
              <w:t>Áreas ou partes delas que se situarem no perímetro urbano, mas sem frente para a via pública, poderão continuar sendo consideradas rurais.</w:t>
            </w:r>
          </w:p>
        </w:tc>
      </w:tr>
      <w:tr>
        <w:trPr>
          <w:trHeight w:val="685" w:hRule="atLeast"/>
        </w:trPr>
        <w:tc>
          <w:tcPr>
            <w:tcW w:w="935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ListParagraph"/>
              <w:widowControl/>
              <w:numPr>
                <w:ilvl w:val="0"/>
                <w:numId w:val="0"/>
              </w:numPr>
              <w:tabs>
                <w:tab w:val="left" w:pos="165" w:leader="none"/>
                <w:tab w:val="left" w:pos="360" w:leader="none"/>
                <w:tab w:val="left" w:pos="735" w:leader="none"/>
              </w:tabs>
              <w:suppressAutoHyphens w:val="true"/>
              <w:bidi w:val="0"/>
              <w:spacing w:lineRule="auto" w:line="240" w:before="0" w:after="0"/>
              <w:ind w:left="113" w:right="0" w:hanging="0"/>
              <w:jc w:val="both"/>
              <w:rPr/>
            </w:pPr>
            <w:r>
              <w:rPr>
                <w:rFonts w:eastAsia="Symbol" w:cs="Symbol" w:ascii="Symbol" w:hAnsi="Symbol"/>
                <w:iCs/>
                <w:color w:val="00000A"/>
                <w:sz w:val="24"/>
                <w:szCs w:val="24"/>
              </w:rPr>
              <w:t></w:t>
            </w:r>
            <w:r>
              <w:rPr>
                <w:rFonts w:cs="Arial" w:ascii="Arial" w:hAnsi="Arial"/>
                <w:sz w:val="24"/>
                <w:szCs w:val="24"/>
              </w:rPr>
              <w:t xml:space="preserve">  </w:t>
            </w:r>
            <w:r>
              <w:rPr>
                <w:rFonts w:cs="Arial" w:ascii="Arial" w:hAnsi="Arial"/>
                <w:sz w:val="24"/>
                <w:szCs w:val="24"/>
              </w:rPr>
              <w:t xml:space="preserve">A redução/desconto somente incidirá nas áreas que excedem os 1.080 m². Não cabendo portanto redução/desconto da área </w:t>
            </w:r>
            <w:bookmarkStart w:id="0" w:name="_GoBack"/>
            <w:bookmarkEnd w:id="0"/>
            <w:r>
              <w:rPr>
                <w:rFonts w:cs="Arial" w:ascii="Arial" w:hAnsi="Arial"/>
                <w:sz w:val="24"/>
                <w:szCs w:val="24"/>
              </w:rPr>
              <w:t>de até 1.080 m².</w:t>
            </w:r>
          </w:p>
        </w:tc>
      </w:tr>
      <w:tr>
        <w:trPr>
          <w:trHeight w:val="651" w:hRule="atLeast"/>
        </w:trPr>
        <w:tc>
          <w:tcPr>
            <w:tcW w:w="935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vAlign w:val="center"/>
          </w:tcPr>
          <w:p>
            <w:pPr>
              <w:pStyle w:val="ListParagraph"/>
              <w:widowControl/>
              <w:numPr>
                <w:ilvl w:val="0"/>
                <w:numId w:val="0"/>
              </w:numPr>
              <w:tabs>
                <w:tab w:val="left" w:pos="165" w:leader="none"/>
                <w:tab w:val="left" w:pos="360" w:leader="none"/>
                <w:tab w:val="left" w:pos="735" w:leader="none"/>
              </w:tabs>
              <w:suppressAutoHyphens w:val="true"/>
              <w:bidi w:val="0"/>
              <w:spacing w:lineRule="auto" w:line="240" w:before="0" w:after="0"/>
              <w:ind w:left="113" w:right="0" w:hanging="0"/>
              <w:jc w:val="both"/>
              <w:rPr>
                <w:rFonts w:ascii="Arial" w:hAnsi="Arial" w:cs="Arial"/>
                <w:iCs/>
                <w:sz w:val="24"/>
                <w:szCs w:val="24"/>
              </w:rPr>
            </w:pPr>
            <w:bookmarkStart w:id="1" w:name="__DdeLink__10_1861821551"/>
            <w:r>
              <w:rPr>
                <w:rFonts w:eastAsia="Symbol" w:cs="Symbol" w:ascii="Symbol" w:hAnsi="Symbol"/>
                <w:iCs/>
                <w:color w:val="00000A"/>
                <w:sz w:val="24"/>
                <w:szCs w:val="24"/>
              </w:rPr>
              <w:t></w:t>
            </w:r>
            <w:bookmarkEnd w:id="1"/>
            <w:r>
              <w:rPr>
                <w:rFonts w:eastAsia="Symbol" w:cs="Symbol" w:ascii="Symbol" w:hAnsi="Symbol"/>
                <w:iCs/>
                <w:color w:val="00000A"/>
                <w:sz w:val="24"/>
                <w:szCs w:val="24"/>
              </w:rPr>
              <w:t xml:space="preserve"> </w:t>
            </w:r>
            <w:r>
              <w:rPr>
                <w:rFonts w:cs="Arial" w:ascii="Arial" w:hAnsi="Arial"/>
                <w:iCs/>
                <w:sz w:val="24"/>
                <w:szCs w:val="24"/>
              </w:rPr>
              <w:t>Os valores referentes a terras e terrenos serão corrigidos de acordo com a variação do CUB/RS – Prédio Popular Normal.</w:t>
            </w:r>
          </w:p>
        </w:tc>
      </w:tr>
    </w:tbl>
    <w:p>
      <w:pPr>
        <w:pStyle w:val="Padro"/>
        <w:tabs>
          <w:tab w:val="left" w:pos="0" w:leader="none"/>
          <w:tab w:val="left" w:pos="708" w:leader="none"/>
        </w:tabs>
        <w:spacing w:lineRule="auto" w:line="240" w:before="0" w:after="0"/>
        <w:rPr>
          <w:rFonts w:ascii="Arial" w:hAnsi="Arial" w:cs="Arial"/>
          <w:color w:val="00000A"/>
        </w:rPr>
      </w:pPr>
      <w:r>
        <w:rPr>
          <w:rFonts w:cs="Arial" w:ascii="Arial" w:hAnsi="Arial"/>
          <w:color w:val="00000A"/>
        </w:rPr>
      </w:r>
    </w:p>
    <w:p>
      <w:pPr>
        <w:pStyle w:val="Padro"/>
        <w:tabs>
          <w:tab w:val="left" w:pos="0" w:leader="none"/>
          <w:tab w:val="left" w:pos="708" w:leader="none"/>
        </w:tabs>
        <w:spacing w:lineRule="auto" w:line="240" w:before="0" w:after="0"/>
        <w:rPr/>
      </w:pPr>
      <w:r>
        <w:rPr/>
      </w:r>
    </w:p>
    <w:sectPr>
      <w:headerReference w:type="default" r:id="rId4"/>
      <w:type w:val="nextPage"/>
      <w:pgSz w:w="11906" w:h="16838"/>
      <w:pgMar w:left="1418" w:right="1080" w:header="708" w:top="765" w:footer="0" w:bottom="11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Arial">
    <w:altName w:val="sans-serif"/>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Ttulo5"/>
      <w:numFmt w:val="none"/>
      <w:suff w:val="nothing"/>
      <w:lvlText w:val=""/>
      <w:lvlJc w:val="left"/>
      <w:pPr>
        <w:ind w:left="0" w:hanging="0"/>
      </w:pPr>
    </w:lvl>
    <w:lvl w:ilvl="5">
      <w:start w:val="1"/>
      <w:numFmt w:val="none"/>
      <w:suff w:val="nothing"/>
      <w:lvlText w:val=""/>
      <w:lvlJc w:val="left"/>
      <w:pPr>
        <w:ind w:left="0" w:hanging="0"/>
      </w:pPr>
    </w:lvl>
    <w:lvl w:ilvl="6">
      <w:start w:val="1"/>
      <w:pStyle w:val="Ttulo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bidi w:val="0"/>
      <w:spacing w:lineRule="auto" w:line="276" w:before="0" w:after="200"/>
      <w:jc w:val="left"/>
    </w:pPr>
    <w:rPr>
      <w:rFonts w:ascii="Times New Roman" w:hAnsi="Times New Roman" w:eastAsia="SimSun" w:cs="Mangal"/>
      <w:color w:val="00000A"/>
      <w:kern w:val="2"/>
      <w:sz w:val="24"/>
      <w:szCs w:val="24"/>
      <w:lang w:val="pt-BR" w:eastAsia="zh-CN" w:bidi="hi-IN"/>
    </w:rPr>
  </w:style>
  <w:style w:type="paragraph" w:styleId="Ttulo1">
    <w:name w:val="Heading 1"/>
    <w:basedOn w:val="Ttulo"/>
    <w:qFormat/>
    <w:pPr>
      <w:keepNext w:val="true"/>
      <w:widowControl w:val="false"/>
      <w:numPr>
        <w:ilvl w:val="0"/>
        <w:numId w:val="1"/>
      </w:numPr>
      <w:suppressAutoHyphens w:val="true"/>
      <w:bidi w:val="0"/>
      <w:spacing w:before="240" w:after="60"/>
      <w:ind w:left="835" w:right="0" w:hanging="0"/>
      <w:jc w:val="left"/>
      <w:outlineLvl w:val="0"/>
    </w:pPr>
    <w:rPr>
      <w:rFonts w:ascii="Arial" w:hAnsi="Arial" w:eastAsia="Times New Roman" w:cs="Arial"/>
      <w:b/>
      <w:bCs/>
      <w:color w:val="00000A"/>
      <w:kern w:val="2"/>
      <w:sz w:val="32"/>
      <w:szCs w:val="32"/>
      <w:lang w:val="pt-BR" w:eastAsia="pt-BR" w:bidi="ar-SA"/>
    </w:rPr>
  </w:style>
  <w:style w:type="paragraph" w:styleId="Ttulo2">
    <w:name w:val="Heading 2"/>
    <w:basedOn w:val="Normal"/>
    <w:next w:val="Normal"/>
    <w:qFormat/>
    <w:pPr>
      <w:keepNext w:val="true"/>
      <w:keepLines/>
      <w:numPr>
        <w:ilvl w:val="1"/>
        <w:numId w:val="1"/>
      </w:numPr>
      <w:spacing w:before="40" w:after="0"/>
      <w:outlineLvl w:val="1"/>
    </w:pPr>
    <w:rPr>
      <w:rFonts w:ascii="Cambria" w:hAnsi="Cambria" w:eastAsia="" w:cs=""/>
      <w:color w:val="365F91"/>
      <w:sz w:val="26"/>
      <w:szCs w:val="26"/>
    </w:rPr>
  </w:style>
  <w:style w:type="paragraph" w:styleId="Ttulo5">
    <w:name w:val="Heading 5"/>
    <w:basedOn w:val="Normal"/>
    <w:next w:val="Normal"/>
    <w:qFormat/>
    <w:pPr>
      <w:keepNext w:val="true"/>
      <w:keepLines/>
      <w:numPr>
        <w:ilvl w:val="4"/>
        <w:numId w:val="1"/>
      </w:numPr>
      <w:spacing w:before="40" w:after="0"/>
      <w:outlineLvl w:val="4"/>
    </w:pPr>
    <w:rPr>
      <w:rFonts w:ascii="Cambria" w:hAnsi="Cambria" w:eastAsia="" w:cs=""/>
      <w:color w:val="365F91"/>
    </w:rPr>
  </w:style>
  <w:style w:type="paragraph" w:styleId="Ttulo7">
    <w:name w:val="Heading 7"/>
    <w:basedOn w:val="Normal"/>
    <w:next w:val="Normal"/>
    <w:qFormat/>
    <w:pPr>
      <w:keepNext w:val="true"/>
      <w:keepLines/>
      <w:numPr>
        <w:ilvl w:val="6"/>
        <w:numId w:val="1"/>
      </w:numPr>
      <w:spacing w:before="200" w:after="0"/>
      <w:outlineLvl w:val="6"/>
    </w:pPr>
    <w:rPr>
      <w:rFonts w:ascii="Cambria" w:hAnsi="Cambria" w:eastAsia="" w:cs=""/>
      <w:i/>
      <w:iCs/>
      <w:color w:val="40404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LinkdaInternet">
    <w:name w:val="Link da Internet"/>
    <w:rPr>
      <w:color w:val="0000FF"/>
      <w:u w:val="single"/>
      <w:lang w:val="pt-BR" w:eastAsia="pt-BR" w:bidi="pt-BR"/>
    </w:rPr>
  </w:style>
  <w:style w:type="character" w:styleId="CabealhoChar">
    <w:name w:val="Cabeçalho Char"/>
    <w:basedOn w:val="DefaultParagraphFont"/>
    <w:qFormat/>
    <w:rPr/>
  </w:style>
  <w:style w:type="character" w:styleId="RodapChar">
    <w:name w:val="Rodapé Char"/>
    <w:basedOn w:val="DefaultParagraphFont"/>
    <w:qFormat/>
    <w:rPr/>
  </w:style>
  <w:style w:type="character" w:styleId="TextodebaloChar">
    <w:name w:val="Texto de balão Char"/>
    <w:qFormat/>
    <w:rPr>
      <w:rFonts w:ascii="Tahoma" w:hAnsi="Tahoma" w:cs="Tahoma"/>
      <w:sz w:val="16"/>
      <w:szCs w:val="16"/>
    </w:rPr>
  </w:style>
  <w:style w:type="character" w:styleId="ListLabel1">
    <w:name w:val="ListLabel 1"/>
    <w:qFormat/>
    <w:rPr>
      <w:sz w:val="20"/>
    </w:rPr>
  </w:style>
  <w:style w:type="character" w:styleId="ListLabel2">
    <w:name w:val="ListLabel 2"/>
    <w:qFormat/>
    <w:rPr>
      <w:rFonts w:cs="Times New Roman"/>
    </w:rPr>
  </w:style>
  <w:style w:type="character" w:styleId="Ttulo1Char">
    <w:name w:val="Título 1 Char"/>
    <w:qFormat/>
    <w:rPr>
      <w:rFonts w:ascii="Arial" w:hAnsi="Arial" w:eastAsia="SimSun" w:cs="Arial"/>
      <w:b/>
      <w:bCs/>
      <w:color w:val="00000A"/>
      <w:sz w:val="32"/>
      <w:szCs w:val="32"/>
      <w:lang w:eastAsia="en-US"/>
    </w:rPr>
  </w:style>
  <w:style w:type="character" w:styleId="Ttulo7Char">
    <w:name w:val="Título 7 Char"/>
    <w:basedOn w:val="DefaultParagraphFont"/>
    <w:qFormat/>
    <w:rPr>
      <w:rFonts w:ascii="Cambria" w:hAnsi="Cambria" w:eastAsia="" w:cs=""/>
      <w:i/>
      <w:iCs/>
      <w:color w:val="404040"/>
      <w:sz w:val="22"/>
      <w:szCs w:val="22"/>
    </w:rPr>
  </w:style>
  <w:style w:type="character" w:styleId="CorpodetextoChar">
    <w:name w:val="Corpo de texto Char"/>
    <w:basedOn w:val="DefaultParagraphFont"/>
    <w:qFormat/>
    <w:rPr>
      <w:rFonts w:eastAsia="SimSun"/>
      <w:color w:val="00000A"/>
      <w:sz w:val="22"/>
      <w:szCs w:val="22"/>
      <w:lang w:eastAsia="en-US"/>
    </w:rPr>
  </w:style>
  <w:style w:type="character" w:styleId="Ttulo2Char">
    <w:name w:val="Título 2 Char"/>
    <w:basedOn w:val="DefaultParagraphFont"/>
    <w:qFormat/>
    <w:rPr>
      <w:rFonts w:ascii="Cambria" w:hAnsi="Cambria" w:eastAsia="" w:cs=""/>
      <w:color w:val="365F91"/>
      <w:sz w:val="26"/>
      <w:szCs w:val="26"/>
    </w:rPr>
  </w:style>
  <w:style w:type="character" w:styleId="Ttulo5Char">
    <w:name w:val="Título 5 Char"/>
    <w:basedOn w:val="DefaultParagraphFont"/>
    <w:qFormat/>
    <w:rPr>
      <w:rFonts w:ascii="Cambria" w:hAnsi="Cambria" w:eastAsia="" w:cs=""/>
      <w:color w:val="365F91"/>
      <w:sz w:val="22"/>
      <w:szCs w:val="22"/>
    </w:rPr>
  </w:style>
  <w:style w:type="character" w:styleId="ListLabel3">
    <w:name w:val="ListLabel 3"/>
    <w:qFormat/>
    <w:rPr>
      <w:rFonts w:cs="Arial"/>
      <w:b/>
      <w:sz w:val="24"/>
      <w:szCs w:val="24"/>
    </w:rPr>
  </w:style>
  <w:style w:type="character" w:styleId="ListLabel4">
    <w:name w:val="ListLabel 4"/>
    <w:qFormat/>
    <w:rPr>
      <w:rFonts w:eastAsia="SimSun"/>
      <w:b/>
      <w:color w:val="00000A"/>
    </w:rPr>
  </w:style>
  <w:style w:type="character" w:styleId="ListLabel5">
    <w:name w:val="ListLabel 5"/>
    <w:qFormat/>
    <w:rPr>
      <w:sz w:val="24"/>
    </w:rPr>
  </w:style>
  <w:style w:type="character" w:styleId="ListLabel6">
    <w:name w:val="ListLabel 6"/>
    <w:qFormat/>
    <w:rPr>
      <w:rFonts w:cs="Courier New"/>
    </w:rPr>
  </w:style>
  <w:style w:type="character" w:styleId="Marcas">
    <w:name w:val="Marcas"/>
    <w:qFormat/>
    <w:rPr>
      <w:rFonts w:ascii="Arial" w:hAnsi="Arial" w:eastAsia="OpenSymbol" w:cs="OpenSymbol"/>
      <w:sz w:val="24"/>
      <w:szCs w:val="24"/>
    </w:rPr>
  </w:style>
  <w:style w:type="character" w:styleId="ListLabel7">
    <w:name w:val="ListLabel 7"/>
    <w:qFormat/>
    <w:rPr>
      <w:rFonts w:cs="OpenSymbol"/>
      <w:sz w:val="24"/>
      <w:szCs w:val="24"/>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paragraph" w:styleId="Ttulo">
    <w:name w:val="Título"/>
    <w:basedOn w:val="Normal"/>
    <w:next w:val="Corpodetexto"/>
    <w:qFormat/>
    <w:pPr>
      <w:keepNext w:val="true"/>
      <w:spacing w:before="240" w:after="120"/>
    </w:pPr>
    <w:rPr>
      <w:rFonts w:ascii="Liberation Sans;Arial" w:hAnsi="Liberation Sans;Arial" w:eastAsia="Microsoft YaHei" w:cs="Mangal"/>
      <w:sz w:val="28"/>
      <w:szCs w:val="28"/>
    </w:rPr>
  </w:style>
  <w:style w:type="paragraph" w:styleId="Corpodetexto">
    <w:name w:val="Body Text"/>
    <w:basedOn w:val="Normal"/>
    <w:pPr>
      <w:spacing w:lineRule="auto" w:line="288" w:before="0" w:after="12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qFormat/>
    <w:pPr>
      <w:widowControl w:val="false"/>
      <w:suppressLineNumbers/>
    </w:pPr>
    <w:rPr>
      <w:rFonts w:cs="Mangal" w:ascii="Liberation Serif" w:hAnsi="Liberation Serif" w:eastAsia="SimSun"/>
      <w:color w:val="auto"/>
      <w:kern w:val="0"/>
      <w:sz w:val="20"/>
      <w:szCs w:val="24"/>
      <w:lang w:val="pt-BR" w:eastAsia="zh-CN" w:bidi="hi-IN"/>
    </w:rPr>
  </w:style>
  <w:style w:type="paragraph" w:styleId="Padro">
    <w:name w:val="Padrão"/>
    <w:qFormat/>
    <w:pPr>
      <w:widowControl/>
      <w:tabs>
        <w:tab w:val="left" w:pos="708" w:leader="none"/>
      </w:tabs>
      <w:suppressAutoHyphens w:val="true"/>
      <w:bidi w:val="0"/>
      <w:spacing w:lineRule="auto" w:line="276" w:before="0" w:after="200"/>
      <w:jc w:val="left"/>
    </w:pPr>
    <w:rPr>
      <w:rFonts w:ascii="Calibri" w:hAnsi="Calibri" w:eastAsia="SimSun" w:cs="Times New Roman"/>
      <w:color w:val="00000A"/>
      <w:kern w:val="2"/>
      <w:sz w:val="22"/>
      <w:szCs w:val="22"/>
      <w:lang w:val="pt-BR" w:eastAsia="en-US" w:bidi="ar-SA"/>
    </w:rPr>
  </w:style>
  <w:style w:type="paragraph" w:styleId="Ttulododocumento">
    <w:name w:val="Title"/>
    <w:basedOn w:val="Padro"/>
    <w:qFormat/>
    <w:pPr>
      <w:keepNext w:val="true"/>
      <w:spacing w:before="240" w:after="120"/>
    </w:pPr>
    <w:rPr>
      <w:rFonts w:ascii="Arial" w:hAnsi="Arial" w:eastAsia="Microsoft YaHei" w:cs="Mangal"/>
      <w:sz w:val="28"/>
      <w:szCs w:val="28"/>
    </w:rPr>
  </w:style>
  <w:style w:type="paragraph" w:styleId="Caption">
    <w:name w:val="caption"/>
    <w:basedOn w:val="Padro"/>
    <w:qFormat/>
    <w:pPr>
      <w:suppressLineNumbers/>
      <w:spacing w:before="120" w:after="120"/>
    </w:pPr>
    <w:rPr>
      <w:rFonts w:cs="Mangal"/>
      <w:i/>
      <w:iCs/>
      <w:sz w:val="24"/>
      <w:szCs w:val="24"/>
    </w:rPr>
  </w:style>
  <w:style w:type="paragraph" w:styleId="Cabealho">
    <w:name w:val="Header"/>
    <w:basedOn w:val="Padro"/>
    <w:pPr>
      <w:suppressLineNumbers/>
      <w:tabs>
        <w:tab w:val="center" w:pos="4252" w:leader="none"/>
        <w:tab w:val="right" w:pos="8504" w:leader="none"/>
      </w:tabs>
      <w:spacing w:lineRule="atLeast" w:line="100" w:before="0" w:after="0"/>
    </w:pPr>
    <w:rPr/>
  </w:style>
  <w:style w:type="paragraph" w:styleId="Rodap">
    <w:name w:val="Footer"/>
    <w:basedOn w:val="Padro"/>
    <w:pPr>
      <w:suppressLineNumbers/>
      <w:tabs>
        <w:tab w:val="center" w:pos="4252" w:leader="none"/>
        <w:tab w:val="right" w:pos="8504" w:leader="none"/>
      </w:tabs>
      <w:spacing w:lineRule="atLeast" w:line="100" w:before="0" w:after="0"/>
    </w:pPr>
    <w:rPr/>
  </w:style>
  <w:style w:type="paragraph" w:styleId="BalloonText">
    <w:name w:val="Balloon Text"/>
    <w:basedOn w:val="Padro"/>
    <w:qFormat/>
    <w:pPr>
      <w:spacing w:lineRule="atLeast" w:line="100" w:before="0" w:after="0"/>
    </w:pPr>
    <w:rPr>
      <w:rFonts w:ascii="Tahoma" w:hAnsi="Tahoma" w:cs="Tahoma"/>
      <w:sz w:val="16"/>
      <w:szCs w:val="16"/>
    </w:rPr>
  </w:style>
  <w:style w:type="paragraph" w:styleId="ListParagraph">
    <w:name w:val="List Paragraph"/>
    <w:basedOn w:val="Padro"/>
    <w:qFormat/>
    <w:pPr>
      <w:ind w:left="720" w:right="0" w:hanging="0"/>
    </w:pPr>
    <w:rPr/>
  </w:style>
  <w:style w:type="paragraph" w:styleId="WWPadro">
    <w:name w:val="WW-Padrão"/>
    <w:qFormat/>
    <w:pPr>
      <w:widowControl/>
      <w:tabs>
        <w:tab w:val="left" w:pos="708" w:leader="none"/>
      </w:tabs>
      <w:suppressAutoHyphens w:val="true"/>
      <w:bidi w:val="0"/>
      <w:spacing w:lineRule="auto" w:line="276" w:before="0" w:after="200"/>
      <w:jc w:val="left"/>
    </w:pPr>
    <w:rPr>
      <w:rFonts w:ascii="Calibri" w:hAnsi="Calibri" w:eastAsia="SimSun" w:cs="Calibri"/>
      <w:color w:val="00000A"/>
      <w:kern w:val="2"/>
      <w:sz w:val="22"/>
      <w:szCs w:val="22"/>
      <w:lang w:val="pt-BR" w:eastAsia="zh-CN" w:bidi="ar-SA"/>
    </w:rPr>
  </w:style>
  <w:style w:type="paragraph" w:styleId="Contedodatabela">
    <w:name w:val="Conteúdo da tabela"/>
    <w:basedOn w:val="Normal"/>
    <w:qFormat/>
    <w:pPr>
      <w:suppressLineNumbers/>
      <w:suppressAutoHyphens w:val="true"/>
      <w:spacing w:lineRule="auto" w:line="240" w:before="0" w:after="0"/>
      <w:ind w:left="835" w:right="0" w:hanging="0"/>
    </w:pPr>
    <w:rPr>
      <w:rFonts w:ascii="Times New Roman" w:hAnsi="Times New Roman" w:cs="Times New Roman"/>
      <w:color w:val="00000A"/>
      <w:sz w:val="20"/>
      <w:szCs w:val="20"/>
      <w:lang w:eastAsia="ar-SA"/>
    </w:rPr>
  </w:style>
  <w:style w:type="paragraph" w:styleId="NoSpacing">
    <w:name w:val="No Spacing"/>
    <w:qFormat/>
    <w:pPr>
      <w:widowControl/>
      <w:suppressAutoHyphens w:val="true"/>
      <w:bidi w:val="0"/>
      <w:jc w:val="left"/>
    </w:pPr>
    <w:rPr>
      <w:rFonts w:ascii="Calibri" w:hAnsi="Calibri" w:eastAsia="Calibri" w:cs="Times New Roman"/>
      <w:color w:val="00000A"/>
      <w:kern w:val="2"/>
      <w:sz w:val="22"/>
      <w:szCs w:val="22"/>
      <w:lang w:val="pt-BR" w:eastAsia="en-US" w:bidi="ar-SA"/>
    </w:rPr>
  </w:style>
  <w:style w:type="paragraph" w:styleId="Ttulodetabela">
    <w:name w:val="Título de tabela"/>
    <w:basedOn w:val="Contedodatabela"/>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52</TotalTime>
  <Application>LibreOffice/5.4.7.2$Windows_X86_64 LibreOffice_project/c838ef25c16710f8838b1faec480ebba495259d0</Application>
  <Pages>4</Pages>
  <Words>1020</Words>
  <Characters>4773</Characters>
  <CharactersWithSpaces>5803</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2019-09-13T18:22:00Z</dcterms:created>
  <dc:creator>Adm-04</dc:creator>
  <dc:description/>
  <dc:language>pt-BR</dc:language>
  <cp:lastModifiedBy/>
  <cp:lastPrinted>2019-12-03T14:56:21Z</cp:lastPrinted>
  <dcterms:modified xsi:type="dcterms:W3CDTF">2019-12-03T15:09:25Z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